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1" w:type="dxa"/>
          <w:right w:w="11" w:type="dxa"/>
        </w:tblCellMar>
        <w:tblLook w:val="0000"/>
      </w:tblPr>
      <w:tblGrid>
        <w:gridCol w:w="624"/>
        <w:gridCol w:w="1303"/>
        <w:gridCol w:w="5393"/>
        <w:gridCol w:w="2131"/>
        <w:gridCol w:w="2101"/>
        <w:gridCol w:w="1204"/>
      </w:tblGrid>
      <w:tr w:rsidR="00937FCB" w:rsidTr="00A90AD1">
        <w:trPr>
          <w:trHeight w:val="480"/>
        </w:trPr>
        <w:tc>
          <w:tcPr>
            <w:tcW w:w="1927" w:type="dxa"/>
            <w:gridSpan w:val="2"/>
            <w:tcBorders>
              <w:top w:val="nil"/>
              <w:left w:val="nil"/>
              <w:bottom w:val="nil"/>
              <w:right w:val="nil"/>
            </w:tcBorders>
            <w:noWrap/>
            <w:tcMar>
              <w:top w:w="15" w:type="dxa"/>
              <w:left w:w="15" w:type="dxa"/>
              <w:right w:w="15" w:type="dxa"/>
            </w:tcMar>
            <w:vAlign w:val="center"/>
          </w:tcPr>
          <w:p w:rsidR="00937FCB" w:rsidRDefault="00937FCB" w:rsidP="00A90AD1">
            <w:pPr>
              <w:widowControl/>
              <w:jc w:val="left"/>
              <w:textAlignment w:val="center"/>
              <w:rPr>
                <w:rFonts w:ascii="方正黑体_GBK" w:eastAsia="方正黑体_GBK" w:hAnsi="宋体" w:cs="宋体" w:hint="eastAsia"/>
                <w:color w:val="000000"/>
                <w:sz w:val="28"/>
                <w:szCs w:val="28"/>
              </w:rPr>
            </w:pPr>
            <w:r>
              <w:rPr>
                <w:rFonts w:ascii="方正黑体_GBK" w:eastAsia="方正黑体_GBK" w:hAnsi="宋体" w:cs="宋体" w:hint="eastAsia"/>
                <w:color w:val="000000"/>
                <w:kern w:val="0"/>
                <w:sz w:val="28"/>
                <w:szCs w:val="28"/>
                <w:lang/>
              </w:rPr>
              <w:t>附件</w:t>
            </w:r>
          </w:p>
        </w:tc>
        <w:tc>
          <w:tcPr>
            <w:tcW w:w="5393" w:type="dxa"/>
            <w:tcBorders>
              <w:top w:val="nil"/>
              <w:left w:val="nil"/>
              <w:bottom w:val="nil"/>
              <w:right w:val="nil"/>
            </w:tcBorders>
            <w:noWrap/>
            <w:tcMar>
              <w:top w:w="15" w:type="dxa"/>
              <w:left w:w="15" w:type="dxa"/>
              <w:right w:w="15" w:type="dxa"/>
            </w:tcMar>
            <w:vAlign w:val="center"/>
          </w:tcPr>
          <w:p w:rsidR="00937FCB" w:rsidRDefault="00937FCB" w:rsidP="00A90AD1">
            <w:pPr>
              <w:jc w:val="left"/>
              <w:rPr>
                <w:color w:val="000000"/>
                <w:sz w:val="20"/>
                <w:szCs w:val="20"/>
              </w:rPr>
            </w:pPr>
          </w:p>
        </w:tc>
        <w:tc>
          <w:tcPr>
            <w:tcW w:w="2131" w:type="dxa"/>
            <w:tcBorders>
              <w:top w:val="nil"/>
              <w:left w:val="nil"/>
              <w:bottom w:val="nil"/>
              <w:right w:val="nil"/>
            </w:tcBorders>
            <w:noWrap/>
            <w:tcMar>
              <w:top w:w="15" w:type="dxa"/>
              <w:left w:w="15" w:type="dxa"/>
              <w:right w:w="15" w:type="dxa"/>
            </w:tcMar>
            <w:vAlign w:val="center"/>
          </w:tcPr>
          <w:p w:rsidR="00937FCB" w:rsidRDefault="00937FCB" w:rsidP="00A90AD1">
            <w:pPr>
              <w:jc w:val="left"/>
              <w:rPr>
                <w:color w:val="000000"/>
                <w:sz w:val="20"/>
                <w:szCs w:val="20"/>
              </w:rPr>
            </w:pPr>
          </w:p>
        </w:tc>
        <w:tc>
          <w:tcPr>
            <w:tcW w:w="2101" w:type="dxa"/>
            <w:tcBorders>
              <w:top w:val="nil"/>
              <w:left w:val="nil"/>
              <w:bottom w:val="nil"/>
              <w:right w:val="nil"/>
            </w:tcBorders>
            <w:noWrap/>
            <w:tcMar>
              <w:top w:w="15" w:type="dxa"/>
              <w:left w:w="15" w:type="dxa"/>
              <w:right w:w="15" w:type="dxa"/>
            </w:tcMar>
            <w:vAlign w:val="center"/>
          </w:tcPr>
          <w:p w:rsidR="00937FCB" w:rsidRDefault="00937FCB" w:rsidP="00A90AD1">
            <w:pPr>
              <w:jc w:val="left"/>
              <w:rPr>
                <w:color w:val="000000"/>
                <w:sz w:val="20"/>
                <w:szCs w:val="20"/>
              </w:rPr>
            </w:pPr>
          </w:p>
        </w:tc>
        <w:tc>
          <w:tcPr>
            <w:tcW w:w="1204" w:type="dxa"/>
            <w:tcBorders>
              <w:top w:val="nil"/>
              <w:left w:val="nil"/>
              <w:bottom w:val="nil"/>
              <w:right w:val="nil"/>
            </w:tcBorders>
            <w:noWrap/>
            <w:tcMar>
              <w:top w:w="15" w:type="dxa"/>
              <w:left w:w="15" w:type="dxa"/>
              <w:right w:w="15" w:type="dxa"/>
            </w:tcMar>
            <w:vAlign w:val="center"/>
          </w:tcPr>
          <w:p w:rsidR="00937FCB" w:rsidRDefault="00937FCB" w:rsidP="00A90AD1">
            <w:pPr>
              <w:jc w:val="left"/>
              <w:rPr>
                <w:color w:val="000000"/>
                <w:sz w:val="20"/>
                <w:szCs w:val="20"/>
              </w:rPr>
            </w:pPr>
          </w:p>
        </w:tc>
      </w:tr>
      <w:tr w:rsidR="00937FCB" w:rsidTr="00A90AD1">
        <w:trPr>
          <w:trHeight w:val="762"/>
        </w:trPr>
        <w:tc>
          <w:tcPr>
            <w:tcW w:w="12756" w:type="dxa"/>
            <w:gridSpan w:val="6"/>
            <w:tcBorders>
              <w:top w:val="nil"/>
              <w:left w:val="nil"/>
              <w:bottom w:val="nil"/>
              <w:right w:val="nil"/>
            </w:tcBorders>
            <w:tcMar>
              <w:top w:w="15" w:type="dxa"/>
              <w:left w:w="15" w:type="dxa"/>
              <w:right w:w="15" w:type="dxa"/>
            </w:tcMar>
          </w:tcPr>
          <w:p w:rsidR="00937FCB" w:rsidRDefault="00937FCB" w:rsidP="00A90AD1">
            <w:pPr>
              <w:widowControl/>
              <w:jc w:val="center"/>
              <w:textAlignment w:val="top"/>
              <w:rPr>
                <w:rFonts w:ascii="方正小标宋_GBK" w:eastAsia="方正小标宋_GBK" w:hAnsi="宋体" w:cs="宋体" w:hint="eastAsia"/>
                <w:color w:val="000000"/>
                <w:sz w:val="40"/>
                <w:szCs w:val="40"/>
              </w:rPr>
            </w:pPr>
            <w:r>
              <w:rPr>
                <w:rFonts w:ascii="方正小标宋_GBK" w:eastAsia="方正小标宋_GBK" w:hAnsi="宋体" w:cs="宋体" w:hint="eastAsia"/>
                <w:color w:val="000000"/>
                <w:kern w:val="0"/>
                <w:sz w:val="40"/>
                <w:szCs w:val="40"/>
                <w:lang/>
              </w:rPr>
              <w:t>白城市全面开展工程建设项目审批制度改革工作任务分解表</w:t>
            </w:r>
          </w:p>
        </w:tc>
      </w:tr>
      <w:tr w:rsidR="00937FCB" w:rsidTr="00A90AD1">
        <w:trPr>
          <w:trHeight w:val="439"/>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序号</w:t>
            </w:r>
          </w:p>
        </w:tc>
        <w:tc>
          <w:tcPr>
            <w:tcW w:w="13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rPr>
              <w:t>工作任务</w:t>
            </w: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rPr>
              <w:t>具体内容</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rPr>
              <w:t>牵头单位</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rPr>
              <w:t>配合单位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rPr>
              <w:t>完成时限</w:t>
            </w:r>
          </w:p>
        </w:tc>
      </w:tr>
      <w:tr w:rsidR="00937FCB" w:rsidTr="00A90AD1">
        <w:trPr>
          <w:trHeight w:val="94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1</w:t>
            </w:r>
          </w:p>
        </w:tc>
        <w:tc>
          <w:tcPr>
            <w:tcW w:w="13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精简审批事项</w:t>
            </w: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对照梳理分析立项用地规划许可、工程建设许可阶段所有审批事项的法律法规依据，梳理并提出所有审批事项的处理意见。</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市自然资源局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30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1015"/>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w:t>
            </w:r>
          </w:p>
        </w:tc>
        <w:tc>
          <w:tcPr>
            <w:tcW w:w="13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ind w:rightChars="49" w:right="103"/>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对照梳理分析施工许可、竣工验收阶段所有审批事项的法律法规依据，梳理并提出所有审批事项的处理意见。</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市住房和城乡建设局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30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1015"/>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3</w:t>
            </w:r>
          </w:p>
        </w:tc>
        <w:tc>
          <w:tcPr>
            <w:tcW w:w="13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ind w:rightChars="49" w:right="103"/>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制定立项用地规划许可、工程建设许可阶段涉及的审批事项、中介服务事项、技术审查事项清单。</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市自然资源局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30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965"/>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4</w:t>
            </w:r>
          </w:p>
        </w:tc>
        <w:tc>
          <w:tcPr>
            <w:tcW w:w="13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ind w:rightChars="49" w:right="103"/>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制定施工许可、竣工验收阶段审批事项、中介服务事项、技术审查事项清单。</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市住房和城乡建设局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30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955"/>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5</w:t>
            </w:r>
          </w:p>
        </w:tc>
        <w:tc>
          <w:tcPr>
            <w:tcW w:w="13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ind w:rightChars="49" w:right="103"/>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确定政府内部协作的事项、管理方式和相关要求。</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市工程建设项目审批制度改革领导小组办公室</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30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72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6</w:t>
            </w:r>
          </w:p>
        </w:tc>
        <w:tc>
          <w:tcPr>
            <w:tcW w:w="13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ind w:rightChars="49" w:right="103"/>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各部门制定本地区审批事项清单并报市工程建设项目审批制度改革领导小组办公室备案。</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市工程建设项目审批制度改革领导小组办公室</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30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960"/>
        </w:trPr>
        <w:tc>
          <w:tcPr>
            <w:tcW w:w="624" w:type="dxa"/>
            <w:tcBorders>
              <w:top w:val="single" w:sz="4" w:space="0" w:color="000000"/>
              <w:left w:val="single" w:sz="4" w:space="0" w:color="000000"/>
              <w:bottom w:val="single" w:sz="6"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lastRenderedPageBreak/>
              <w:t>7</w:t>
            </w:r>
          </w:p>
        </w:tc>
        <w:tc>
          <w:tcPr>
            <w:tcW w:w="1303" w:type="dxa"/>
            <w:vMerge/>
            <w:tcBorders>
              <w:top w:val="single" w:sz="4" w:space="0" w:color="000000"/>
              <w:left w:val="single" w:sz="4" w:space="0" w:color="000000"/>
              <w:bottom w:val="single" w:sz="6" w:space="0" w:color="000000"/>
              <w:right w:val="single" w:sz="4" w:space="0" w:color="000000"/>
            </w:tcBorders>
            <w:tcMar>
              <w:top w:w="15" w:type="dxa"/>
              <w:left w:w="15" w:type="dxa"/>
              <w:right w:w="15" w:type="dxa"/>
            </w:tcMar>
            <w:vAlign w:val="center"/>
          </w:tcPr>
          <w:p w:rsidR="00937FCB" w:rsidRDefault="00937FCB" w:rsidP="00A90AD1">
            <w:pPr>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6" w:space="0" w:color="000000"/>
              <w:right w:val="single" w:sz="4" w:space="0" w:color="000000"/>
            </w:tcBorders>
            <w:tcMar>
              <w:top w:w="15" w:type="dxa"/>
              <w:left w:w="15" w:type="dxa"/>
              <w:right w:w="15" w:type="dxa"/>
            </w:tcMar>
            <w:vAlign w:val="center"/>
          </w:tcPr>
          <w:p w:rsidR="00937FCB" w:rsidRDefault="00937FCB" w:rsidP="00A90AD1">
            <w:pPr>
              <w:widowControl/>
              <w:ind w:rightChars="49" w:right="103"/>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汇总形成白城市工程建设项目审批事项清单并报省工程建设项目审批制度改革领导小组办公室备案。</w:t>
            </w:r>
          </w:p>
        </w:tc>
        <w:tc>
          <w:tcPr>
            <w:tcW w:w="2131" w:type="dxa"/>
            <w:tcBorders>
              <w:top w:val="single" w:sz="4" w:space="0" w:color="000000"/>
              <w:left w:val="single" w:sz="4" w:space="0" w:color="000000"/>
              <w:bottom w:val="single" w:sz="6"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市工程建设项目审批制度改革领导小组办公室</w:t>
            </w:r>
          </w:p>
        </w:tc>
        <w:tc>
          <w:tcPr>
            <w:tcW w:w="2101" w:type="dxa"/>
            <w:tcBorders>
              <w:top w:val="single" w:sz="4" w:space="0" w:color="000000"/>
              <w:left w:val="single" w:sz="4" w:space="0" w:color="000000"/>
              <w:bottom w:val="single" w:sz="6" w:space="0" w:color="000000"/>
              <w:right w:val="single" w:sz="4" w:space="0" w:color="000000"/>
            </w:tcBorders>
            <w:tcMar>
              <w:top w:w="15" w:type="dxa"/>
              <w:left w:w="15" w:type="dxa"/>
              <w:right w:w="15" w:type="dxa"/>
            </w:tcMar>
            <w:vAlign w:val="center"/>
          </w:tcPr>
          <w:p w:rsidR="00937FCB" w:rsidRDefault="00937FCB" w:rsidP="00A90AD1">
            <w:pPr>
              <w:widowControl/>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6"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437"/>
        </w:trPr>
        <w:tc>
          <w:tcPr>
            <w:tcW w:w="624"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序号</w:t>
            </w:r>
          </w:p>
        </w:tc>
        <w:tc>
          <w:tcPr>
            <w:tcW w:w="1303"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黑体" w:eastAsia="黑体" w:hAnsi="宋体" w:cs="黑体" w:hint="eastAsia"/>
                <w:color w:val="000000"/>
                <w:kern w:val="0"/>
                <w:sz w:val="20"/>
                <w:szCs w:val="20"/>
                <w:lang/>
              </w:rPr>
              <w:t>工作任务</w:t>
            </w:r>
          </w:p>
        </w:tc>
        <w:tc>
          <w:tcPr>
            <w:tcW w:w="5393"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具体内容</w:t>
            </w:r>
          </w:p>
        </w:tc>
        <w:tc>
          <w:tcPr>
            <w:tcW w:w="2131"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牵头单位</w:t>
            </w:r>
          </w:p>
        </w:tc>
        <w:tc>
          <w:tcPr>
            <w:tcW w:w="2101"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配合单位</w:t>
            </w:r>
          </w:p>
        </w:tc>
        <w:tc>
          <w:tcPr>
            <w:tcW w:w="1204"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完成时限</w:t>
            </w:r>
          </w:p>
        </w:tc>
      </w:tr>
      <w:tr w:rsidR="00937FCB" w:rsidTr="00A90AD1">
        <w:trPr>
          <w:trHeight w:val="630"/>
        </w:trPr>
        <w:tc>
          <w:tcPr>
            <w:tcW w:w="624"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8</w:t>
            </w:r>
          </w:p>
        </w:tc>
        <w:tc>
          <w:tcPr>
            <w:tcW w:w="1303" w:type="dxa"/>
            <w:vMerge w:val="restart"/>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减少审批环节</w:t>
            </w:r>
          </w:p>
        </w:tc>
        <w:tc>
          <w:tcPr>
            <w:tcW w:w="5393"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取消单独办理的质量安全监督手续和人防工程质量监督手续，与施工许可证一并办理。</w:t>
            </w:r>
          </w:p>
        </w:tc>
        <w:tc>
          <w:tcPr>
            <w:tcW w:w="2131"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市住房和城乡建设局</w:t>
            </w:r>
          </w:p>
        </w:tc>
        <w:tc>
          <w:tcPr>
            <w:tcW w:w="2101"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市人防办</w:t>
            </w:r>
          </w:p>
        </w:tc>
        <w:tc>
          <w:tcPr>
            <w:tcW w:w="1204"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979"/>
        </w:trPr>
        <w:tc>
          <w:tcPr>
            <w:tcW w:w="624"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9</w:t>
            </w:r>
          </w:p>
        </w:tc>
        <w:tc>
          <w:tcPr>
            <w:tcW w:w="1303" w:type="dxa"/>
            <w:vMerge/>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jc w:val="center"/>
              <w:rPr>
                <w:rFonts w:ascii="宋体" w:hAnsi="宋体" w:cs="宋体" w:hint="eastAsia"/>
                <w:color w:val="000000"/>
                <w:sz w:val="19"/>
                <w:szCs w:val="19"/>
              </w:rPr>
            </w:pPr>
          </w:p>
        </w:tc>
        <w:tc>
          <w:tcPr>
            <w:tcW w:w="5393"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取消单独办理的城镇燃气工程、城市道路工程、环境卫生设施和城镇排水与污水处理设施等专项竣工验收备案环节，与房屋建筑工程和市政基础设施工程竣工验收备案一并办理。</w:t>
            </w:r>
          </w:p>
        </w:tc>
        <w:tc>
          <w:tcPr>
            <w:tcW w:w="2131"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市住房和城乡建设局</w:t>
            </w:r>
          </w:p>
        </w:tc>
        <w:tc>
          <w:tcPr>
            <w:tcW w:w="2101"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spacing w:line="22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720"/>
        </w:trPr>
        <w:tc>
          <w:tcPr>
            <w:tcW w:w="624"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10</w:t>
            </w:r>
          </w:p>
        </w:tc>
        <w:tc>
          <w:tcPr>
            <w:tcW w:w="1303" w:type="dxa"/>
            <w:vMerge w:val="restart"/>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合理划分审批阶段</w:t>
            </w:r>
          </w:p>
        </w:tc>
        <w:tc>
          <w:tcPr>
            <w:tcW w:w="5393"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确定合并审批事项目录，制定审批事项合并管理的具体规定。</w:t>
            </w:r>
          </w:p>
        </w:tc>
        <w:tc>
          <w:tcPr>
            <w:tcW w:w="2131"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市工程建设项目审批制度改革领导小组办公室</w:t>
            </w:r>
          </w:p>
        </w:tc>
        <w:tc>
          <w:tcPr>
            <w:tcW w:w="2101"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spacing w:line="22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720"/>
        </w:trPr>
        <w:tc>
          <w:tcPr>
            <w:tcW w:w="624"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11</w:t>
            </w:r>
          </w:p>
        </w:tc>
        <w:tc>
          <w:tcPr>
            <w:tcW w:w="1303" w:type="dxa"/>
            <w:vMerge/>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jc w:val="center"/>
              <w:rPr>
                <w:rFonts w:ascii="宋体" w:hAnsi="宋体" w:cs="宋体" w:hint="eastAsia"/>
                <w:color w:val="000000"/>
                <w:sz w:val="19"/>
                <w:szCs w:val="19"/>
              </w:rPr>
            </w:pPr>
          </w:p>
        </w:tc>
        <w:tc>
          <w:tcPr>
            <w:tcW w:w="5393"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制定立项用地规划许可、工程建设许可阶段并联审批管理办法。</w:t>
            </w:r>
          </w:p>
        </w:tc>
        <w:tc>
          <w:tcPr>
            <w:tcW w:w="2131"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市自然资源局</w:t>
            </w:r>
          </w:p>
        </w:tc>
        <w:tc>
          <w:tcPr>
            <w:tcW w:w="2101"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spacing w:line="22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720"/>
        </w:trPr>
        <w:tc>
          <w:tcPr>
            <w:tcW w:w="624"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12</w:t>
            </w:r>
          </w:p>
        </w:tc>
        <w:tc>
          <w:tcPr>
            <w:tcW w:w="1303" w:type="dxa"/>
            <w:vMerge/>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jc w:val="center"/>
              <w:rPr>
                <w:rFonts w:ascii="宋体" w:hAnsi="宋体" w:cs="宋体" w:hint="eastAsia"/>
                <w:color w:val="000000"/>
                <w:sz w:val="19"/>
                <w:szCs w:val="19"/>
              </w:rPr>
            </w:pPr>
          </w:p>
        </w:tc>
        <w:tc>
          <w:tcPr>
            <w:tcW w:w="5393"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制定施工许可并联审批管理办法、联合验收实施意见。</w:t>
            </w:r>
          </w:p>
        </w:tc>
        <w:tc>
          <w:tcPr>
            <w:tcW w:w="2131"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市住房和城乡建设局</w:t>
            </w:r>
          </w:p>
        </w:tc>
        <w:tc>
          <w:tcPr>
            <w:tcW w:w="2101"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spacing w:line="22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省工程建设项目审批制度改革领导小组相关成员单位</w:t>
            </w:r>
          </w:p>
        </w:tc>
        <w:tc>
          <w:tcPr>
            <w:tcW w:w="1204"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720"/>
        </w:trPr>
        <w:tc>
          <w:tcPr>
            <w:tcW w:w="624"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13</w:t>
            </w:r>
          </w:p>
        </w:tc>
        <w:tc>
          <w:tcPr>
            <w:tcW w:w="1303" w:type="dxa"/>
            <w:vMerge w:val="restart"/>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明晰审批权责</w:t>
            </w:r>
          </w:p>
        </w:tc>
        <w:tc>
          <w:tcPr>
            <w:tcW w:w="5393"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明确下放或委托下级机关审批的事项，以及承接相关事项的审批部门、审批要求。</w:t>
            </w:r>
          </w:p>
        </w:tc>
        <w:tc>
          <w:tcPr>
            <w:tcW w:w="2131"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市工程建设项目审批制度改革领导小组办公室</w:t>
            </w:r>
          </w:p>
        </w:tc>
        <w:tc>
          <w:tcPr>
            <w:tcW w:w="2101"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spacing w:line="22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720"/>
        </w:trPr>
        <w:tc>
          <w:tcPr>
            <w:tcW w:w="624"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14</w:t>
            </w:r>
          </w:p>
        </w:tc>
        <w:tc>
          <w:tcPr>
            <w:tcW w:w="1303" w:type="dxa"/>
            <w:vMerge/>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jc w:val="center"/>
              <w:rPr>
                <w:rFonts w:ascii="宋体" w:hAnsi="宋体" w:cs="宋体" w:hint="eastAsia"/>
                <w:color w:val="000000"/>
                <w:sz w:val="19"/>
                <w:szCs w:val="19"/>
              </w:rPr>
            </w:pPr>
          </w:p>
        </w:tc>
        <w:tc>
          <w:tcPr>
            <w:tcW w:w="5393"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制定培训方案，开展工作培训，指导下级机关做好下放事项承接工作，提高审批效能。</w:t>
            </w:r>
          </w:p>
        </w:tc>
        <w:tc>
          <w:tcPr>
            <w:tcW w:w="2131"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市工程建设项目审批制度改革领导小组办公室</w:t>
            </w:r>
          </w:p>
        </w:tc>
        <w:tc>
          <w:tcPr>
            <w:tcW w:w="2101"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spacing w:line="22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480"/>
        </w:trPr>
        <w:tc>
          <w:tcPr>
            <w:tcW w:w="624"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15</w:t>
            </w:r>
          </w:p>
        </w:tc>
        <w:tc>
          <w:tcPr>
            <w:tcW w:w="1303" w:type="dxa"/>
            <w:vMerge/>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jc w:val="center"/>
              <w:rPr>
                <w:rFonts w:ascii="宋体" w:hAnsi="宋体" w:cs="宋体" w:hint="eastAsia"/>
                <w:color w:val="000000"/>
                <w:sz w:val="19"/>
                <w:szCs w:val="19"/>
              </w:rPr>
            </w:pPr>
          </w:p>
        </w:tc>
        <w:tc>
          <w:tcPr>
            <w:tcW w:w="5393"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承接下放事项的下级机关加强力量配备，保障审批高效运行。推动市县工业类项目的审批权力向开发区集中。</w:t>
            </w:r>
          </w:p>
        </w:tc>
        <w:tc>
          <w:tcPr>
            <w:tcW w:w="2131"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各县（市、区）政府</w:t>
            </w:r>
          </w:p>
        </w:tc>
        <w:tc>
          <w:tcPr>
            <w:tcW w:w="2101"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spacing w:line="220" w:lineRule="exact"/>
              <w:jc w:val="left"/>
              <w:rPr>
                <w:rFonts w:ascii="宋体" w:hAnsi="宋体" w:cs="宋体" w:hint="eastAsia"/>
                <w:color w:val="000000"/>
                <w:sz w:val="20"/>
                <w:szCs w:val="20"/>
              </w:rPr>
            </w:pPr>
          </w:p>
        </w:tc>
        <w:tc>
          <w:tcPr>
            <w:tcW w:w="1204"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720"/>
        </w:trPr>
        <w:tc>
          <w:tcPr>
            <w:tcW w:w="624"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16</w:t>
            </w:r>
          </w:p>
        </w:tc>
        <w:tc>
          <w:tcPr>
            <w:tcW w:w="1303" w:type="dxa"/>
            <w:vMerge w:val="restart"/>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实施分类管理</w:t>
            </w:r>
          </w:p>
        </w:tc>
        <w:tc>
          <w:tcPr>
            <w:tcW w:w="5393"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参照国家工程建设项目审批流程图示范文本，制定不同类型工程建设项目立项用地规划许可、工程建设许可阶段审批流程图。</w:t>
            </w:r>
          </w:p>
        </w:tc>
        <w:tc>
          <w:tcPr>
            <w:tcW w:w="2131"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市自然资源局</w:t>
            </w:r>
          </w:p>
        </w:tc>
        <w:tc>
          <w:tcPr>
            <w:tcW w:w="2101"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spacing w:line="22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720"/>
        </w:trPr>
        <w:tc>
          <w:tcPr>
            <w:tcW w:w="624"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lastRenderedPageBreak/>
              <w:t>17</w:t>
            </w:r>
          </w:p>
        </w:tc>
        <w:tc>
          <w:tcPr>
            <w:tcW w:w="1303" w:type="dxa"/>
            <w:vMerge/>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jc w:val="center"/>
              <w:rPr>
                <w:rFonts w:ascii="宋体" w:hAnsi="宋体" w:cs="宋体" w:hint="eastAsia"/>
                <w:color w:val="000000"/>
                <w:sz w:val="19"/>
                <w:szCs w:val="19"/>
              </w:rPr>
            </w:pPr>
          </w:p>
        </w:tc>
        <w:tc>
          <w:tcPr>
            <w:tcW w:w="5393"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参照国家工程建设项目审批流程图示范文本，制定不同类型工程建设项目施工许可、竣工验收阶段审批流程图。</w:t>
            </w:r>
          </w:p>
        </w:tc>
        <w:tc>
          <w:tcPr>
            <w:tcW w:w="2131"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市住房和城乡建设局</w:t>
            </w:r>
          </w:p>
        </w:tc>
        <w:tc>
          <w:tcPr>
            <w:tcW w:w="2101"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spacing w:line="22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720"/>
        </w:trPr>
        <w:tc>
          <w:tcPr>
            <w:tcW w:w="624"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18</w:t>
            </w:r>
          </w:p>
        </w:tc>
        <w:tc>
          <w:tcPr>
            <w:tcW w:w="1303" w:type="dxa"/>
            <w:vMerge/>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jc w:val="center"/>
              <w:rPr>
                <w:rFonts w:ascii="宋体" w:hAnsi="宋体" w:cs="宋体" w:hint="eastAsia"/>
                <w:color w:val="000000"/>
                <w:sz w:val="19"/>
                <w:szCs w:val="19"/>
              </w:rPr>
            </w:pPr>
          </w:p>
        </w:tc>
        <w:tc>
          <w:tcPr>
            <w:tcW w:w="5393"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参照国家、省工程建设项目审批流程图，制定本地不同类型工程建设项目审批流程图，明确审批部门、审批事项和审批时限。</w:t>
            </w:r>
          </w:p>
        </w:tc>
        <w:tc>
          <w:tcPr>
            <w:tcW w:w="2131"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市工程建设项目审批制度改革领导小组办公室</w:t>
            </w:r>
          </w:p>
        </w:tc>
        <w:tc>
          <w:tcPr>
            <w:tcW w:w="2101"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437"/>
        </w:trPr>
        <w:tc>
          <w:tcPr>
            <w:tcW w:w="624" w:type="dxa"/>
            <w:tcBorders>
              <w:top w:val="single" w:sz="6"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序号</w:t>
            </w:r>
          </w:p>
        </w:tc>
        <w:tc>
          <w:tcPr>
            <w:tcW w:w="1303" w:type="dxa"/>
            <w:tcBorders>
              <w:top w:val="single" w:sz="6"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黑体" w:eastAsia="黑体" w:hAnsi="宋体" w:cs="黑体" w:hint="eastAsia"/>
                <w:color w:val="000000"/>
                <w:kern w:val="0"/>
                <w:sz w:val="20"/>
                <w:szCs w:val="20"/>
                <w:lang/>
              </w:rPr>
              <w:t>工作任务</w:t>
            </w:r>
          </w:p>
        </w:tc>
        <w:tc>
          <w:tcPr>
            <w:tcW w:w="5393" w:type="dxa"/>
            <w:tcBorders>
              <w:top w:val="single" w:sz="6"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具体内容</w:t>
            </w:r>
          </w:p>
        </w:tc>
        <w:tc>
          <w:tcPr>
            <w:tcW w:w="2131" w:type="dxa"/>
            <w:tcBorders>
              <w:top w:val="single" w:sz="6"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牵头单位</w:t>
            </w:r>
          </w:p>
        </w:tc>
        <w:tc>
          <w:tcPr>
            <w:tcW w:w="2101" w:type="dxa"/>
            <w:tcBorders>
              <w:top w:val="single" w:sz="6"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配合单位</w:t>
            </w:r>
          </w:p>
        </w:tc>
        <w:tc>
          <w:tcPr>
            <w:tcW w:w="1204" w:type="dxa"/>
            <w:tcBorders>
              <w:top w:val="single" w:sz="6"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完成时限</w:t>
            </w:r>
          </w:p>
        </w:tc>
      </w:tr>
      <w:tr w:rsidR="00937FCB" w:rsidTr="00A90AD1">
        <w:trPr>
          <w:trHeight w:val="84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19</w:t>
            </w:r>
          </w:p>
        </w:tc>
        <w:tc>
          <w:tcPr>
            <w:tcW w:w="13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提前介入服务</w:t>
            </w: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制定提前介入服务指导意见。</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kern w:val="0"/>
                <w:sz w:val="19"/>
                <w:szCs w:val="19"/>
                <w:lang/>
              </w:rPr>
            </w:pPr>
            <w:r>
              <w:rPr>
                <w:rFonts w:ascii="宋体" w:hAnsi="宋体" w:cs="宋体" w:hint="eastAsia"/>
                <w:color w:val="000000"/>
                <w:kern w:val="0"/>
                <w:sz w:val="19"/>
                <w:szCs w:val="19"/>
                <w:lang/>
              </w:rPr>
              <w:t xml:space="preserve">市住房城乡建设局    </w:t>
            </w:r>
          </w:p>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市自然资源局</w:t>
            </w:r>
            <w:r>
              <w:rPr>
                <w:rFonts w:ascii="宋体" w:hAnsi="宋体" w:cs="宋体" w:hint="eastAsia"/>
                <w:color w:val="000000"/>
                <w:kern w:val="0"/>
                <w:sz w:val="19"/>
                <w:szCs w:val="19"/>
                <w:lang/>
              </w:rPr>
              <w:br/>
              <w:t>市政务服务和数字化局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497"/>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w:t>
            </w:r>
          </w:p>
        </w:tc>
        <w:tc>
          <w:tcPr>
            <w:tcW w:w="13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建立会商协调机制，采取提前介入、上门服务、超前辅导、预审预核等方式，指导建设单位做好前期准备工作。</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各县（市、区）政府</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rPr>
                <w:rFonts w:ascii="宋体" w:hAnsi="宋体" w:cs="宋体" w:hint="eastAsia"/>
                <w:color w:val="000000"/>
                <w:sz w:val="19"/>
                <w:szCs w:val="19"/>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815"/>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21</w:t>
            </w:r>
          </w:p>
        </w:tc>
        <w:tc>
          <w:tcPr>
            <w:tcW w:w="13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整合评估事项</w:t>
            </w: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制定区域评估实施细则，明确实施区域评估的主体、实施范围、内容、方式、加强事中事后监管的具体措施。</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市工程建设项目审批制度改革领导小组办公室</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83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22</w:t>
            </w:r>
          </w:p>
        </w:tc>
        <w:tc>
          <w:tcPr>
            <w:tcW w:w="13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实行联合踏勘</w:t>
            </w: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制定联合踏勘管理办法。</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市住房和城乡建设局   市自然资源局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80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23</w:t>
            </w:r>
          </w:p>
        </w:tc>
        <w:tc>
          <w:tcPr>
            <w:tcW w:w="13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spacing w:val="-11"/>
                <w:kern w:val="0"/>
                <w:sz w:val="19"/>
                <w:szCs w:val="19"/>
                <w:lang/>
              </w:rPr>
              <w:t>实行施工图联审</w:t>
            </w: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制定房屋建筑和市政基础设施工程施工图联合审查综合考评打分管理办法。</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市住房和城乡建设局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635"/>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24</w:t>
            </w:r>
          </w:p>
        </w:tc>
        <w:tc>
          <w:tcPr>
            <w:tcW w:w="13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实行联合测绘</w:t>
            </w: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公布符合工程建设项目综合测绘业务要求的测绘资质单位名录。</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市自然资源局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市住房和城乡建设局    市人防办</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545"/>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25</w:t>
            </w:r>
          </w:p>
        </w:tc>
        <w:tc>
          <w:tcPr>
            <w:tcW w:w="13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健全工程建设项目竣工综合测绘技术标准，明确综合测绘内容、精度、成果形式等要求。</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市自然资源局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市住房和城乡建设局    市人防办</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72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26</w:t>
            </w:r>
          </w:p>
        </w:tc>
        <w:tc>
          <w:tcPr>
            <w:tcW w:w="130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实行联合验收</w:t>
            </w: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制定竣工联合验收实施意见，明确牵头部门、参与部门、验收标准、工作规则、办事流程和验收时限。</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市住房和城乡建设局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72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lastRenderedPageBreak/>
              <w:t>27</w:t>
            </w:r>
          </w:p>
        </w:tc>
        <w:tc>
          <w:tcPr>
            <w:tcW w:w="130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37FCB" w:rsidRDefault="00937FCB" w:rsidP="00A90AD1">
            <w:pPr>
              <w:widowControl/>
              <w:spacing w:line="240" w:lineRule="exact"/>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制定房屋建筑和市政基础设施工程竣工联合验收操作细则。</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市住房和城乡建设局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168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28</w:t>
            </w:r>
          </w:p>
        </w:tc>
        <w:tc>
          <w:tcPr>
            <w:tcW w:w="13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推行告知承诺</w:t>
            </w: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制定工程建设项目审批告知承诺制管理办法，公布告知承诺制事项清单及具体要求，明确告知承诺制的实施范围、工作方式、各方职责以及加强事中事后监管的措施。申请人按要求作出书面承诺后，审批部门可以根据申请人信用等情况直接做出行政审批决定。对已实施区域评估范围内的工程建设项目，相应的审批事项实行告知承诺制</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市工程建设项目审批制度改革领导小组办公室</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437"/>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序号</w:t>
            </w:r>
          </w:p>
        </w:tc>
        <w:tc>
          <w:tcPr>
            <w:tcW w:w="13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黑体" w:eastAsia="黑体" w:hAnsi="宋体" w:cs="黑体" w:hint="eastAsia"/>
                <w:color w:val="000000"/>
                <w:kern w:val="0"/>
                <w:sz w:val="20"/>
                <w:szCs w:val="20"/>
                <w:lang/>
              </w:rPr>
              <w:t>工作任务</w:t>
            </w: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具体内容</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牵头单位</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配合单位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完成时限</w:t>
            </w:r>
          </w:p>
        </w:tc>
      </w:tr>
      <w:tr w:rsidR="00937FCB" w:rsidTr="00A90AD1">
        <w:trPr>
          <w:trHeight w:val="72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29</w:t>
            </w:r>
          </w:p>
        </w:tc>
        <w:tc>
          <w:tcPr>
            <w:tcW w:w="13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系统互联互通</w:t>
            </w: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加快完成与吉林省工程建设项目审批管理系统对接，实现现有业务系统的联通和优化。</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市政务服务和数字化局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2019年12月</w:t>
            </w:r>
          </w:p>
        </w:tc>
      </w:tr>
      <w:tr w:rsidR="00937FCB" w:rsidTr="00A90AD1">
        <w:trPr>
          <w:trHeight w:val="1085"/>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30</w:t>
            </w:r>
          </w:p>
        </w:tc>
        <w:tc>
          <w:tcPr>
            <w:tcW w:w="13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“一张蓝图”统筹项目实施</w:t>
            </w: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全面梳理本地区各类规划与空间管控要素，明确“多规合一”包含的规划目录、建立“多规合一”协调机制、明确形成数据目录（各类空间规划图层信息等）、统筹整合各类空间规划等事项完成的具体要求和时间节点。</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市自然资源局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72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31</w:t>
            </w:r>
          </w:p>
        </w:tc>
        <w:tc>
          <w:tcPr>
            <w:tcW w:w="13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spacing w:line="240" w:lineRule="exact"/>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制定项目生成管理办法，明确如何统筹协调各部门对工程建设项目提出建设条件以及需要开展的评估事项等内容。</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市自然资源局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1435"/>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32</w:t>
            </w:r>
          </w:p>
        </w:tc>
        <w:tc>
          <w:tcPr>
            <w:tcW w:w="13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spacing w:line="240" w:lineRule="exact"/>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基本形成“多规合一”的“一张蓝图”，整合空间管控数据，明确生态保护红线、永久基本农田、城镇开发边界等控制线，形成管控边界清晰、责任主体明确和管控规则明晰的空间规划图，依托“一张蓝图”实现工程建设项目审批管理系统的“多规协同”功能。</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市自然资源局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90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33</w:t>
            </w:r>
          </w:p>
        </w:tc>
        <w:tc>
          <w:tcPr>
            <w:tcW w:w="13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spacing w:line="240" w:lineRule="exact"/>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完成差异图斑分析，制定消除空间规划矛盾和差异的工作计划，努力消除主要空间规划矛盾和差异，不断提高“一张蓝图”统筹项目实施效率。</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市自然资源局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2019年9月</w:t>
            </w:r>
          </w:p>
        </w:tc>
      </w:tr>
      <w:tr w:rsidR="00937FCB" w:rsidTr="00A90AD1">
        <w:trPr>
          <w:trHeight w:val="72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lastRenderedPageBreak/>
              <w:t>34</w:t>
            </w:r>
          </w:p>
        </w:tc>
        <w:tc>
          <w:tcPr>
            <w:tcW w:w="13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spacing w:line="240" w:lineRule="exact"/>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不断完善“一张蓝图”，统筹安排年度项目，制定工程建设项目年度实施计划。</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市自然资源局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2019年12月</w:t>
            </w:r>
          </w:p>
        </w:tc>
      </w:tr>
      <w:tr w:rsidR="00937FCB" w:rsidTr="00A90AD1">
        <w:trPr>
          <w:trHeight w:val="72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35</w:t>
            </w:r>
          </w:p>
        </w:tc>
        <w:tc>
          <w:tcPr>
            <w:tcW w:w="13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“一个窗口”提供综合服务</w:t>
            </w: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制定工程建设项目“一窗受理”工作规程，明确设立办法和运行规则。</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市政务服务和数字化局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90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36</w:t>
            </w:r>
          </w:p>
        </w:tc>
        <w:tc>
          <w:tcPr>
            <w:tcW w:w="13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spacing w:line="240" w:lineRule="exact"/>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整合所有工程建设项目审批部门和市政公用单位分散设立的相关服务窗口，建立“前台受理、后台审核”机制，实现综合服务窗口统一收件、发件、咨询。</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市政务服务和数字化局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90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37</w:t>
            </w:r>
          </w:p>
        </w:tc>
        <w:tc>
          <w:tcPr>
            <w:tcW w:w="13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spacing w:line="240" w:lineRule="exact"/>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制定并实施咨询辅导等服务规定，为申请人提供工程建设项目审批咨询、指导、协调和代办等服务，帮助企业了解审批要求，提供相关申请材料清单，提高申报通过率。</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市政务服务和数字化局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437"/>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序号</w:t>
            </w:r>
          </w:p>
        </w:tc>
        <w:tc>
          <w:tcPr>
            <w:tcW w:w="13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黑体" w:eastAsia="黑体" w:hAnsi="宋体" w:cs="黑体" w:hint="eastAsia"/>
                <w:color w:val="000000"/>
                <w:kern w:val="0"/>
                <w:sz w:val="20"/>
                <w:szCs w:val="20"/>
                <w:lang/>
              </w:rPr>
              <w:t>工作任务</w:t>
            </w: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具体内容</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牵头单位</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配合单位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完成时限</w:t>
            </w:r>
          </w:p>
        </w:tc>
      </w:tr>
      <w:tr w:rsidR="00937FCB" w:rsidTr="00A90AD1">
        <w:trPr>
          <w:trHeight w:val="83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38</w:t>
            </w:r>
          </w:p>
        </w:tc>
        <w:tc>
          <w:tcPr>
            <w:tcW w:w="13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“一张表单”整合申报材料</w:t>
            </w: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制定立项用地规划许可、工程建设许可阶段办事指南、申请表单、申报材料目录。</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市自然资源局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89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39</w:t>
            </w:r>
          </w:p>
        </w:tc>
        <w:tc>
          <w:tcPr>
            <w:tcW w:w="13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spacing w:line="240" w:lineRule="exact"/>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制定施工许可、竣工验收阶段办事指南、申请表单、申报材料目录。</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市住房和城乡建设局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86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40</w:t>
            </w:r>
          </w:p>
        </w:tc>
        <w:tc>
          <w:tcPr>
            <w:tcW w:w="13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“一套机制”规范审批运行</w:t>
            </w: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基本建立立项用地规划许可、工程建设许可阶段审批配套制度，包括牵头部门负责制、协调机制、督查制度等。</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市自然资源局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88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41</w:t>
            </w:r>
          </w:p>
        </w:tc>
        <w:tc>
          <w:tcPr>
            <w:tcW w:w="13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spacing w:line="240" w:lineRule="exact"/>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基本建立施工许可、竣工验收阶段审批配套制度，包括牵头部门负责制、协调机制、督查制度等。</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市住房和城乡建设局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785"/>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42</w:t>
            </w:r>
          </w:p>
        </w:tc>
        <w:tc>
          <w:tcPr>
            <w:tcW w:w="13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spacing w:line="240" w:lineRule="exact"/>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基本完成改革涉及相关地方性法规规章和规范性文件的“立改废释”工作。</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市工程建设项目审批制度改革领导小组办公室</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2019年12月</w:t>
            </w:r>
          </w:p>
        </w:tc>
      </w:tr>
      <w:tr w:rsidR="00937FCB" w:rsidTr="00A90AD1">
        <w:trPr>
          <w:trHeight w:val="83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lastRenderedPageBreak/>
              <w:t>43</w:t>
            </w:r>
          </w:p>
        </w:tc>
        <w:tc>
          <w:tcPr>
            <w:tcW w:w="13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加强事中事后监管</w:t>
            </w: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制定事中事后监督检查办法。</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市工程建设项目审批制度改革领导小组办公室</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83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44</w:t>
            </w:r>
          </w:p>
        </w:tc>
        <w:tc>
          <w:tcPr>
            <w:tcW w:w="13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spacing w:line="240" w:lineRule="exact"/>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建立与工程建设项目审批制度改革相适应的监管机制，对实行告知承诺制的事项进行检查。</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市工程建设项目审批制度改革领导小组办公室</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2019年12月</w:t>
            </w:r>
          </w:p>
        </w:tc>
      </w:tr>
      <w:tr w:rsidR="00937FCB" w:rsidTr="00A90AD1">
        <w:trPr>
          <w:trHeight w:val="875"/>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45</w:t>
            </w:r>
          </w:p>
        </w:tc>
        <w:tc>
          <w:tcPr>
            <w:tcW w:w="13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加强信用管理</w:t>
            </w: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制定工程建设项目审批守信激励和失信惩戒管理办法，建立红黑名单制度</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市政务服务和数字化局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1355"/>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46</w:t>
            </w:r>
          </w:p>
        </w:tc>
        <w:tc>
          <w:tcPr>
            <w:tcW w:w="13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spacing w:line="240" w:lineRule="exact"/>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依托省社会信用综合服务平台和工程建设项目审批管理系统，建立工程建设项目审批信用信息平台，实现数据归集、共享，在信用中国（吉林）网站上公开企业和从业人员违法违规、不履行承诺的失信行为，数据与国家工程建设项目审批信用信息平台实时共享。</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市政务服务和数字化局</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437"/>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序号</w:t>
            </w:r>
          </w:p>
        </w:tc>
        <w:tc>
          <w:tcPr>
            <w:tcW w:w="13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sz w:val="19"/>
                <w:szCs w:val="19"/>
              </w:rPr>
            </w:pPr>
            <w:r>
              <w:rPr>
                <w:rFonts w:ascii="黑体" w:eastAsia="黑体" w:hAnsi="宋体" w:cs="黑体" w:hint="eastAsia"/>
                <w:color w:val="000000"/>
                <w:kern w:val="0"/>
                <w:sz w:val="20"/>
                <w:szCs w:val="20"/>
                <w:lang/>
              </w:rPr>
              <w:t>工作任务</w:t>
            </w: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具体内容</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牵头单位</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配合单位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jc w:val="center"/>
              <w:textAlignment w:val="center"/>
              <w:rPr>
                <w:rFonts w:ascii="宋体" w:hAnsi="宋体" w:cs="宋体" w:hint="eastAsia"/>
                <w:color w:val="000000"/>
                <w:kern w:val="0"/>
                <w:sz w:val="19"/>
                <w:szCs w:val="19"/>
                <w:lang/>
              </w:rPr>
            </w:pPr>
            <w:r>
              <w:rPr>
                <w:rFonts w:ascii="黑体" w:eastAsia="黑体" w:hAnsi="宋体" w:cs="黑体" w:hint="eastAsia"/>
                <w:color w:val="000000"/>
                <w:kern w:val="0"/>
                <w:sz w:val="20"/>
                <w:szCs w:val="20"/>
                <w:lang/>
              </w:rPr>
              <w:t>完成时限</w:t>
            </w:r>
          </w:p>
        </w:tc>
      </w:tr>
      <w:tr w:rsidR="00937FCB" w:rsidTr="00A90AD1">
        <w:trPr>
          <w:trHeight w:val="995"/>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47</w:t>
            </w:r>
          </w:p>
        </w:tc>
        <w:tc>
          <w:tcPr>
            <w:tcW w:w="13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规范服务管理</w:t>
            </w: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制定并实施中介和市政公用服务管理制度，实行服务承诺制，明确服务标准、办事流程和办理时限，规范服务收费。</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市工程建设项目审批制度改革领导小组办公室</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89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48</w:t>
            </w:r>
          </w:p>
        </w:tc>
        <w:tc>
          <w:tcPr>
            <w:tcW w:w="13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spacing w:line="240" w:lineRule="exact"/>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按照全省统一部署，依托工程建设项目审批管理系统建立中介服务网上交易平台，实现对工程建设项目涉及的中介服务行为的全过程监管。</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市工程建设项目审批制度改革领导小组办公室</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92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49</w:t>
            </w:r>
          </w:p>
        </w:tc>
        <w:tc>
          <w:tcPr>
            <w:tcW w:w="13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加强组织领导</w:t>
            </w: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制定白城市全面开展工程建设项目审批制度改革实施方案</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市工程建设项目审批制度改革领导小组办公室</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935"/>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50</w:t>
            </w:r>
          </w:p>
        </w:tc>
        <w:tc>
          <w:tcPr>
            <w:tcW w:w="13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spacing w:line="240" w:lineRule="exact"/>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抽调专门人员组成专班负责审批制度改革工作。</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市工程建设项目审批制度改革领导小组办公室</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110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lastRenderedPageBreak/>
              <w:t>51</w:t>
            </w:r>
          </w:p>
        </w:tc>
        <w:tc>
          <w:tcPr>
            <w:tcW w:w="13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spacing w:line="240" w:lineRule="exact"/>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各县（市、区）政府承担本辖区内改革主体责任，成立以主要负责人为组长的改革领导小组，相关责任人和相关部门主要负责人为领导小组成员，落实责任，参照国务院和省、市政府改革方案推进工程建设项目审批制度改革工作有序开展。</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各县（市、区）政府</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spacing w:line="240" w:lineRule="exact"/>
              <w:jc w:val="left"/>
              <w:rPr>
                <w:rFonts w:ascii="宋体" w:hAnsi="宋体" w:cs="宋体" w:hint="eastAsia"/>
                <w:color w:val="000000"/>
                <w:sz w:val="19"/>
                <w:szCs w:val="19"/>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950"/>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52</w:t>
            </w:r>
          </w:p>
        </w:tc>
        <w:tc>
          <w:tcPr>
            <w:tcW w:w="13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spacing w:line="240" w:lineRule="exact"/>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制定培训计划，确定培训内容和培训范围，加强对各级领导干部、工作人员和申请人的业务培训，提高改革能力和业务水平。</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市工程建设项目审批制度改革领导小组办公室</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2019年6月</w:t>
            </w:r>
          </w:p>
        </w:tc>
      </w:tr>
      <w:tr w:rsidR="00937FCB" w:rsidTr="00A90AD1">
        <w:trPr>
          <w:trHeight w:val="935"/>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53</w:t>
            </w:r>
          </w:p>
        </w:tc>
        <w:tc>
          <w:tcPr>
            <w:tcW w:w="13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强化督查考核</w:t>
            </w: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制定工程建设项目审批制度改革督导和评估评价办法，明确督导和评估评价主体、内容、时间等。</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市工程建设项目审批制度改革领导小组办公室</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2019年7月</w:t>
            </w:r>
          </w:p>
        </w:tc>
      </w:tr>
      <w:tr w:rsidR="00937FCB" w:rsidTr="00A90AD1">
        <w:trPr>
          <w:trHeight w:val="1425"/>
        </w:trPr>
        <w:tc>
          <w:tcPr>
            <w:tcW w:w="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54</w:t>
            </w:r>
          </w:p>
        </w:tc>
        <w:tc>
          <w:tcPr>
            <w:tcW w:w="13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spacing w:line="240" w:lineRule="exact"/>
              <w:jc w:val="center"/>
              <w:rPr>
                <w:rFonts w:ascii="宋体" w:hAnsi="宋体" w:cs="宋体" w:hint="eastAsia"/>
                <w:color w:val="000000"/>
                <w:sz w:val="19"/>
                <w:szCs w:val="19"/>
              </w:rPr>
            </w:pPr>
          </w:p>
        </w:tc>
        <w:tc>
          <w:tcPr>
            <w:tcW w:w="5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ind w:rightChars="49" w:right="103"/>
              <w:textAlignment w:val="center"/>
              <w:rPr>
                <w:rFonts w:ascii="宋体" w:hAnsi="宋体" w:cs="宋体" w:hint="eastAsia"/>
                <w:color w:val="000000"/>
                <w:sz w:val="19"/>
                <w:szCs w:val="19"/>
              </w:rPr>
            </w:pPr>
            <w:r>
              <w:rPr>
                <w:rFonts w:ascii="宋体" w:hAnsi="宋体" w:cs="宋体" w:hint="eastAsia"/>
                <w:color w:val="000000"/>
                <w:kern w:val="0"/>
                <w:sz w:val="19"/>
                <w:szCs w:val="19"/>
                <w:lang/>
              </w:rPr>
              <w:t>每月向市工程建设项目审批制度改革领导小组办公室报送工作进展情况。</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市工程建设项目审批制度改革领导小组办公室</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left"/>
              <w:textAlignment w:val="center"/>
              <w:rPr>
                <w:rFonts w:ascii="宋体" w:hAnsi="宋体" w:cs="宋体" w:hint="eastAsia"/>
                <w:color w:val="000000"/>
                <w:sz w:val="19"/>
                <w:szCs w:val="19"/>
              </w:rPr>
            </w:pPr>
            <w:r>
              <w:rPr>
                <w:rFonts w:ascii="宋体" w:hAnsi="宋体" w:cs="宋体" w:hint="eastAsia"/>
                <w:color w:val="000000"/>
                <w:kern w:val="0"/>
                <w:sz w:val="19"/>
                <w:szCs w:val="19"/>
                <w:lang/>
              </w:rPr>
              <w:t>市工程建设项目审批制度改革领导小组相关成员单位</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7FCB" w:rsidRDefault="00937FCB" w:rsidP="00A90AD1">
            <w:pPr>
              <w:widowControl/>
              <w:spacing w:line="240" w:lineRule="exact"/>
              <w:jc w:val="center"/>
              <w:textAlignment w:val="center"/>
              <w:rPr>
                <w:rFonts w:ascii="宋体" w:hAnsi="宋体" w:cs="宋体" w:hint="eastAsia"/>
                <w:color w:val="000000"/>
                <w:sz w:val="19"/>
                <w:szCs w:val="19"/>
              </w:rPr>
            </w:pPr>
            <w:r>
              <w:rPr>
                <w:rFonts w:ascii="宋体" w:hAnsi="宋体" w:cs="宋体" w:hint="eastAsia"/>
                <w:color w:val="000000"/>
                <w:kern w:val="0"/>
                <w:sz w:val="19"/>
                <w:szCs w:val="19"/>
                <w:lang/>
              </w:rPr>
              <w:t>每月</w:t>
            </w:r>
          </w:p>
        </w:tc>
      </w:tr>
    </w:tbl>
    <w:p w:rsidR="00D6461E" w:rsidRDefault="00D6461E"/>
    <w:sectPr w:rsidR="00D6461E" w:rsidSect="00937FC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7FCB"/>
    <w:rsid w:val="00937FCB"/>
    <w:rsid w:val="00D64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FCB"/>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2019-08-21T08:26:00Z</dcterms:created>
  <dcterms:modified xsi:type="dcterms:W3CDTF">2019-08-21T08:27:00Z</dcterms:modified>
</cp:coreProperties>
</file>