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7F" w:rsidRDefault="007A117F" w:rsidP="007A117F">
      <w:pPr>
        <w:spacing w:line="480" w:lineRule="exact"/>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w:t>
      </w:r>
    </w:p>
    <w:p w:rsidR="007A117F" w:rsidRDefault="007A117F" w:rsidP="007A117F">
      <w:pPr>
        <w:spacing w:line="200" w:lineRule="exact"/>
        <w:jc w:val="left"/>
        <w:rPr>
          <w:rFonts w:ascii="方正黑体_GBK" w:eastAsia="方正黑体_GBK" w:hAnsi="方正黑体_GBK" w:cs="方正黑体_GBK" w:hint="eastAsia"/>
          <w:sz w:val="32"/>
          <w:szCs w:val="32"/>
        </w:rPr>
      </w:pPr>
    </w:p>
    <w:p w:rsidR="007A117F" w:rsidRDefault="007A117F" w:rsidP="00D83F27">
      <w:pPr>
        <w:spacing w:line="480" w:lineRule="exact"/>
        <w:ind w:firstLine="420"/>
        <w:jc w:val="center"/>
        <w:rPr>
          <w:rFonts w:ascii="方正小标宋_GBK" w:eastAsia="方正小标宋_GBK" w:hAnsi="方正小标宋_GBK" w:cs="方正小标宋_GBK" w:hint="eastAsia"/>
          <w:spacing w:val="-11"/>
          <w:sz w:val="44"/>
          <w:szCs w:val="44"/>
        </w:rPr>
      </w:pPr>
      <w:r>
        <w:rPr>
          <w:rFonts w:ascii="方正小标宋_GBK" w:eastAsia="方正小标宋_GBK" w:hAnsi="方正小标宋_GBK" w:cs="方正小标宋_GBK" w:hint="eastAsia"/>
          <w:spacing w:val="-11"/>
          <w:sz w:val="44"/>
          <w:szCs w:val="44"/>
        </w:rPr>
        <w:t>白城市招商引资专项攻坚行动实施方案重点任务分工表</w:t>
      </w:r>
    </w:p>
    <w:p w:rsidR="007A117F" w:rsidRDefault="007A117F" w:rsidP="007A117F">
      <w:pPr>
        <w:spacing w:line="480" w:lineRule="exact"/>
        <w:jc w:val="center"/>
        <w:rPr>
          <w:rFonts w:ascii="方正小标宋_GBK" w:eastAsia="方正小标宋_GBK" w:hAnsi="方正小标宋_GBK" w:cs="方正小标宋_GBK" w:hint="eastAsia"/>
          <w:spacing w:val="-11"/>
          <w:sz w:val="44"/>
          <w:szCs w:val="4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1" w:type="dxa"/>
          <w:right w:w="91" w:type="dxa"/>
        </w:tblCellMar>
        <w:tblLook w:val="0000"/>
      </w:tblPr>
      <w:tblGrid>
        <w:gridCol w:w="567"/>
        <w:gridCol w:w="567"/>
        <w:gridCol w:w="7880"/>
        <w:gridCol w:w="1304"/>
        <w:gridCol w:w="2324"/>
      </w:tblGrid>
      <w:tr w:rsidR="007A117F" w:rsidTr="00D2155C">
        <w:trPr>
          <w:trHeight w:hRule="exact" w:val="567"/>
          <w:jc w:val="center"/>
        </w:trPr>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t>类别</w:t>
            </w:r>
          </w:p>
        </w:tc>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t>序号</w:t>
            </w:r>
          </w:p>
        </w:tc>
        <w:tc>
          <w:tcPr>
            <w:tcW w:w="7880"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重点任务内容</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牵头部门</w:t>
            </w:r>
          </w:p>
        </w:tc>
        <w:tc>
          <w:tcPr>
            <w:tcW w:w="232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配合部门</w:t>
            </w:r>
          </w:p>
        </w:tc>
      </w:tr>
      <w:tr w:rsidR="007A117F" w:rsidTr="00D2155C">
        <w:trPr>
          <w:trHeight w:hRule="exact" w:val="1402"/>
          <w:jc w:val="center"/>
        </w:trPr>
        <w:tc>
          <w:tcPr>
            <w:tcW w:w="567" w:type="dxa"/>
            <w:vMerge w:val="restart"/>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承</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接</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省</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任</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务</w:t>
            </w:r>
          </w:p>
        </w:tc>
        <w:tc>
          <w:tcPr>
            <w:tcW w:w="567" w:type="dxa"/>
            <w:vAlign w:val="center"/>
          </w:tcPr>
          <w:p w:rsidR="007A117F" w:rsidRDefault="007A117F" w:rsidP="00D2155C">
            <w:pPr>
              <w:widowControl/>
              <w:jc w:val="center"/>
              <w:textAlignment w:val="center"/>
              <w:rPr>
                <w:rFonts w:eastAsia="方正仿宋_GBK" w:hint="eastAsia"/>
                <w:color w:val="000000"/>
                <w:kern w:val="0"/>
                <w:sz w:val="22"/>
                <w:szCs w:val="22"/>
                <w:lang/>
              </w:rPr>
            </w:pPr>
            <w:r>
              <w:rPr>
                <w:rFonts w:eastAsia="方正仿宋_GBK"/>
                <w:color w:val="000000"/>
                <w:kern w:val="0"/>
                <w:sz w:val="22"/>
                <w:szCs w:val="22"/>
                <w:lang/>
              </w:rPr>
              <w:t>1</w:t>
            </w:r>
          </w:p>
        </w:tc>
        <w:tc>
          <w:tcPr>
            <w:tcW w:w="7880"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到</w:t>
            </w:r>
            <w:r>
              <w:rPr>
                <w:rFonts w:eastAsia="方正仿宋_GBK"/>
                <w:color w:val="000000"/>
                <w:kern w:val="0"/>
                <w:sz w:val="22"/>
                <w:szCs w:val="22"/>
                <w:lang/>
              </w:rPr>
              <w:t>12</w:t>
            </w:r>
            <w:r>
              <w:rPr>
                <w:rFonts w:ascii="方正仿宋_GBK" w:eastAsia="方正仿宋_GBK" w:hAnsi="方正仿宋_GBK" w:cs="方正仿宋_GBK" w:hint="eastAsia"/>
                <w:color w:val="000000"/>
                <w:kern w:val="0"/>
                <w:sz w:val="22"/>
                <w:szCs w:val="22"/>
                <w:lang/>
              </w:rPr>
              <w:t>月末，各县（市、区）政府、开发区（园区）管委会实际利用外资增长20%以上、引进内资增长</w:t>
            </w:r>
            <w:r>
              <w:rPr>
                <w:rFonts w:eastAsia="方正仿宋_GBK" w:hint="eastAsia"/>
                <w:color w:val="000000"/>
                <w:kern w:val="0"/>
                <w:sz w:val="22"/>
                <w:szCs w:val="22"/>
                <w:lang/>
              </w:rPr>
              <w:t>10%</w:t>
            </w:r>
            <w:r>
              <w:rPr>
                <w:rFonts w:ascii="方正仿宋_GBK" w:eastAsia="方正仿宋_GBK" w:hAnsi="方正仿宋_GBK" w:cs="方正仿宋_GBK" w:hint="eastAsia"/>
                <w:color w:val="000000"/>
                <w:kern w:val="0"/>
                <w:sz w:val="22"/>
                <w:szCs w:val="22"/>
                <w:lang/>
              </w:rPr>
              <w:t>,项目履约率、资金到位率稳步提升。到</w:t>
            </w:r>
            <w:r>
              <w:rPr>
                <w:rFonts w:eastAsia="方正仿宋_GBK" w:hint="eastAsia"/>
                <w:color w:val="000000"/>
                <w:kern w:val="0"/>
                <w:sz w:val="22"/>
                <w:szCs w:val="22"/>
                <w:lang/>
              </w:rPr>
              <w:t>2020</w:t>
            </w:r>
            <w:r>
              <w:rPr>
                <w:rFonts w:ascii="方正仿宋_GBK" w:eastAsia="方正仿宋_GBK" w:hAnsi="方正仿宋_GBK" w:cs="方正仿宋_GBK" w:hint="eastAsia"/>
                <w:color w:val="000000"/>
                <w:kern w:val="0"/>
                <w:sz w:val="22"/>
                <w:szCs w:val="22"/>
                <w:lang/>
              </w:rPr>
              <w:t>年</w:t>
            </w:r>
            <w:r>
              <w:rPr>
                <w:rFonts w:eastAsia="方正仿宋_GBK" w:hint="eastAsia"/>
                <w:color w:val="000000"/>
                <w:kern w:val="0"/>
                <w:sz w:val="22"/>
                <w:szCs w:val="22"/>
                <w:lang/>
              </w:rPr>
              <w:t>6</w:t>
            </w:r>
            <w:r>
              <w:rPr>
                <w:rFonts w:ascii="方正仿宋_GBK" w:eastAsia="方正仿宋_GBK" w:hAnsi="方正仿宋_GBK" w:cs="方正仿宋_GBK" w:hint="eastAsia"/>
                <w:color w:val="000000"/>
                <w:kern w:val="0"/>
                <w:sz w:val="22"/>
                <w:szCs w:val="22"/>
                <w:lang/>
              </w:rPr>
              <w:t>月末，各县（市、区）政府、开发区（园区）管委会实际利用外资同比增长</w:t>
            </w:r>
            <w:r>
              <w:rPr>
                <w:rFonts w:eastAsia="方正仿宋_GBK" w:hint="eastAsia"/>
                <w:color w:val="000000"/>
                <w:kern w:val="0"/>
                <w:sz w:val="22"/>
                <w:szCs w:val="22"/>
                <w:lang/>
              </w:rPr>
              <w:t>20%</w:t>
            </w:r>
            <w:r>
              <w:rPr>
                <w:rFonts w:ascii="方正仿宋_GBK" w:eastAsia="方正仿宋_GBK" w:hAnsi="方正仿宋_GBK" w:cs="方正仿宋_GBK" w:hint="eastAsia"/>
                <w:color w:val="000000"/>
                <w:kern w:val="0"/>
                <w:sz w:val="22"/>
                <w:szCs w:val="22"/>
                <w:lang/>
              </w:rPr>
              <w:t>以上、引进内资同比增长</w:t>
            </w:r>
            <w:r>
              <w:rPr>
                <w:rFonts w:eastAsia="方正仿宋_GBK" w:hint="eastAsia"/>
                <w:color w:val="000000"/>
                <w:kern w:val="0"/>
                <w:sz w:val="22"/>
                <w:szCs w:val="22"/>
                <w:lang/>
              </w:rPr>
              <w:t>15%</w:t>
            </w:r>
            <w:r>
              <w:rPr>
                <w:rFonts w:ascii="方正仿宋_GBK" w:eastAsia="方正仿宋_GBK" w:hAnsi="方正仿宋_GBK" w:cs="方正仿宋_GBK" w:hint="eastAsia"/>
                <w:color w:val="000000"/>
                <w:kern w:val="0"/>
                <w:sz w:val="22"/>
                <w:szCs w:val="22"/>
                <w:lang/>
              </w:rPr>
              <w:t>。</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市商务局</w:t>
            </w:r>
          </w:p>
        </w:tc>
        <w:tc>
          <w:tcPr>
            <w:tcW w:w="2324"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各县（市、区）政府、开发区（园区）管委会</w:t>
            </w:r>
          </w:p>
        </w:tc>
      </w:tr>
      <w:tr w:rsidR="007A117F" w:rsidTr="00D2155C">
        <w:trPr>
          <w:trHeight w:hRule="exact" w:val="691"/>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hint="eastAsia"/>
                <w:color w:val="000000"/>
                <w:kern w:val="0"/>
                <w:sz w:val="22"/>
                <w:szCs w:val="22"/>
                <w:lang/>
              </w:rPr>
            </w:pPr>
            <w:r>
              <w:rPr>
                <w:rFonts w:eastAsia="方正仿宋_GBK"/>
                <w:color w:val="000000"/>
                <w:kern w:val="0"/>
                <w:sz w:val="22"/>
                <w:szCs w:val="22"/>
                <w:lang/>
              </w:rPr>
              <w:t>2</w:t>
            </w:r>
          </w:p>
        </w:tc>
        <w:tc>
          <w:tcPr>
            <w:tcW w:w="7880"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借助中国网红一吉林行活动、中韩经贸合作洽谈会等活动，高效对接一批项目。</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市商务局</w:t>
            </w:r>
          </w:p>
        </w:tc>
        <w:tc>
          <w:tcPr>
            <w:tcW w:w="2324"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spacing w:val="-20"/>
                <w:kern w:val="0"/>
                <w:sz w:val="22"/>
                <w:szCs w:val="22"/>
                <w:lang/>
              </w:rPr>
              <w:t>各县（市、区）政府、开发区（园区）管</w:t>
            </w:r>
            <w:r>
              <w:rPr>
                <w:rFonts w:ascii="方正仿宋_GBK" w:eastAsia="方正仿宋_GBK" w:hAnsi="方正仿宋_GBK" w:cs="方正仿宋_GBK" w:hint="eastAsia"/>
                <w:color w:val="000000"/>
                <w:kern w:val="0"/>
                <w:sz w:val="22"/>
                <w:szCs w:val="22"/>
                <w:lang/>
              </w:rPr>
              <w:t>委会</w:t>
            </w:r>
          </w:p>
        </w:tc>
      </w:tr>
      <w:tr w:rsidR="007A117F" w:rsidTr="00D2155C">
        <w:trPr>
          <w:trHeight w:hRule="exact" w:val="1312"/>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hint="eastAsia"/>
                <w:color w:val="000000"/>
                <w:kern w:val="0"/>
                <w:sz w:val="22"/>
                <w:szCs w:val="22"/>
                <w:lang/>
              </w:rPr>
            </w:pPr>
            <w:r>
              <w:rPr>
                <w:rFonts w:eastAsia="方正仿宋_GBK"/>
                <w:color w:val="000000"/>
                <w:kern w:val="0"/>
                <w:sz w:val="22"/>
                <w:szCs w:val="22"/>
                <w:lang/>
              </w:rPr>
              <w:t>3</w:t>
            </w:r>
          </w:p>
        </w:tc>
        <w:tc>
          <w:tcPr>
            <w:tcW w:w="7880"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切实加大开发区、园区基础设施、生活配套和公共服务平台建设，不断提升开发区、特殊功能区的项目承载能力和要素吸引力。按照园区产业定位开发招商引资项目源，研究梳理世界</w:t>
            </w:r>
            <w:r>
              <w:rPr>
                <w:rFonts w:eastAsia="方正仿宋_GBK" w:hint="eastAsia"/>
                <w:color w:val="000000"/>
                <w:kern w:val="0"/>
                <w:sz w:val="22"/>
                <w:szCs w:val="22"/>
                <w:lang/>
              </w:rPr>
              <w:t>500</w:t>
            </w:r>
            <w:r>
              <w:rPr>
                <w:rFonts w:ascii="方正仿宋_GBK" w:eastAsia="方正仿宋_GBK" w:hAnsi="方正仿宋_GBK" w:cs="方正仿宋_GBK" w:hint="eastAsia"/>
                <w:color w:val="000000"/>
                <w:kern w:val="0"/>
                <w:sz w:val="22"/>
                <w:szCs w:val="22"/>
                <w:lang/>
              </w:rPr>
              <w:t>强、国内</w:t>
            </w:r>
            <w:r>
              <w:rPr>
                <w:rFonts w:eastAsia="方正仿宋_GBK" w:hint="eastAsia"/>
                <w:color w:val="000000"/>
                <w:kern w:val="0"/>
                <w:sz w:val="22"/>
                <w:szCs w:val="22"/>
                <w:lang/>
              </w:rPr>
              <w:t>500</w:t>
            </w:r>
            <w:r>
              <w:rPr>
                <w:rFonts w:ascii="方正仿宋_GBK" w:eastAsia="方正仿宋_GBK" w:hAnsi="方正仿宋_GBK" w:cs="方正仿宋_GBK" w:hint="eastAsia"/>
                <w:color w:val="000000"/>
                <w:kern w:val="0"/>
                <w:sz w:val="22"/>
                <w:szCs w:val="22"/>
                <w:lang/>
              </w:rPr>
              <w:t>强、各省市龙头企业投资动态，加大点对点走访力度，提高项目洽谈合作的成功率。</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市商务局</w:t>
            </w:r>
          </w:p>
        </w:tc>
        <w:tc>
          <w:tcPr>
            <w:tcW w:w="2324"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各县（市、区）政府、开发区（园区）管委会</w:t>
            </w:r>
          </w:p>
        </w:tc>
      </w:tr>
      <w:tr w:rsidR="007A117F" w:rsidTr="00D2155C">
        <w:trPr>
          <w:trHeight w:hRule="exact" w:val="1100"/>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hint="eastAsia"/>
                <w:color w:val="000000"/>
                <w:kern w:val="0"/>
                <w:sz w:val="22"/>
                <w:szCs w:val="22"/>
                <w:lang/>
              </w:rPr>
            </w:pPr>
            <w:r>
              <w:rPr>
                <w:rFonts w:eastAsia="方正仿宋_GBK"/>
                <w:color w:val="000000"/>
                <w:kern w:val="0"/>
                <w:sz w:val="22"/>
                <w:szCs w:val="22"/>
                <w:lang/>
              </w:rPr>
              <w:t>4</w:t>
            </w:r>
          </w:p>
        </w:tc>
        <w:tc>
          <w:tcPr>
            <w:tcW w:w="7880"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全面梳理年初以来洽谈、签约、落地项目，建立省、市、县重点推动项目清单，督导各地对合同引资额</w:t>
            </w:r>
            <w:r>
              <w:rPr>
                <w:rFonts w:eastAsia="方正仿宋_GBK" w:hint="eastAsia"/>
                <w:color w:val="000000"/>
                <w:kern w:val="0"/>
                <w:sz w:val="22"/>
                <w:szCs w:val="22"/>
                <w:lang/>
              </w:rPr>
              <w:t>3000</w:t>
            </w:r>
            <w:r>
              <w:rPr>
                <w:rFonts w:ascii="方正仿宋_GBK" w:eastAsia="方正仿宋_GBK" w:hAnsi="方正仿宋_GBK" w:cs="方正仿宋_GBK" w:hint="eastAsia"/>
                <w:color w:val="000000"/>
                <w:kern w:val="0"/>
                <w:sz w:val="22"/>
                <w:szCs w:val="22"/>
                <w:lang/>
              </w:rPr>
              <w:t>万元以上的签约项目纳入省级调度系统，全面掌握项目建设进展。</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市商务局</w:t>
            </w:r>
          </w:p>
        </w:tc>
        <w:tc>
          <w:tcPr>
            <w:tcW w:w="2324"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各县（市、区）政府、开发区（园区）管委会</w:t>
            </w:r>
          </w:p>
        </w:tc>
      </w:tr>
      <w:tr w:rsidR="007A117F" w:rsidTr="00D2155C">
        <w:trPr>
          <w:trHeight w:hRule="exact" w:val="964"/>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hint="eastAsia"/>
                <w:color w:val="000000"/>
                <w:kern w:val="0"/>
                <w:sz w:val="22"/>
                <w:szCs w:val="22"/>
                <w:lang/>
              </w:rPr>
            </w:pPr>
            <w:r>
              <w:rPr>
                <w:rFonts w:eastAsia="方正仿宋_GBK"/>
                <w:color w:val="000000"/>
                <w:kern w:val="0"/>
                <w:sz w:val="22"/>
                <w:szCs w:val="22"/>
                <w:lang/>
              </w:rPr>
              <w:t>5</w:t>
            </w:r>
          </w:p>
        </w:tc>
        <w:tc>
          <w:tcPr>
            <w:tcW w:w="7880"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做好《中华人民共和国外商投资法》实施前的准备工作。</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市商务局</w:t>
            </w:r>
          </w:p>
        </w:tc>
        <w:tc>
          <w:tcPr>
            <w:tcW w:w="2324"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各县（市、区）政府、开发区（园区）管委会</w:t>
            </w:r>
          </w:p>
        </w:tc>
      </w:tr>
      <w:tr w:rsidR="007A117F" w:rsidTr="00D2155C">
        <w:trPr>
          <w:trHeight w:hRule="exact" w:val="1051"/>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hint="eastAsia"/>
                <w:color w:val="000000"/>
                <w:kern w:val="0"/>
                <w:sz w:val="22"/>
                <w:szCs w:val="22"/>
                <w:lang/>
              </w:rPr>
            </w:pPr>
            <w:r>
              <w:rPr>
                <w:rFonts w:eastAsia="方正仿宋_GBK"/>
                <w:color w:val="000000"/>
                <w:kern w:val="0"/>
                <w:sz w:val="22"/>
                <w:szCs w:val="22"/>
                <w:lang/>
              </w:rPr>
              <w:t>6</w:t>
            </w:r>
          </w:p>
        </w:tc>
        <w:tc>
          <w:tcPr>
            <w:tcW w:w="7880"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强化外商投资企业投诉工作联席会议作用，及时协调解决外资企业在生产、经营中遇到的困难和问题。</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市商务局</w:t>
            </w:r>
          </w:p>
        </w:tc>
        <w:tc>
          <w:tcPr>
            <w:tcW w:w="2324" w:type="dxa"/>
            <w:vAlign w:val="center"/>
          </w:tcPr>
          <w:p w:rsidR="007A117F" w:rsidRDefault="007A117F" w:rsidP="00D2155C">
            <w:pPr>
              <w:widowControl/>
              <w:jc w:val="left"/>
              <w:textAlignment w:val="center"/>
              <w:rPr>
                <w:rFonts w:ascii="方正黑体_GBK" w:eastAsia="方正黑体_GBK" w:hAnsi="方正黑体_GBK" w:cs="方正黑体_GBK" w:hint="eastAsia"/>
                <w:color w:val="000000"/>
                <w:kern w:val="0"/>
                <w:sz w:val="24"/>
                <w:lang/>
              </w:rPr>
            </w:pPr>
            <w:r>
              <w:rPr>
                <w:rFonts w:ascii="方正仿宋_GBK" w:eastAsia="方正仿宋_GBK" w:hAnsi="方正仿宋_GBK" w:cs="方正仿宋_GBK" w:hint="eastAsia"/>
                <w:color w:val="000000"/>
                <w:kern w:val="0"/>
                <w:sz w:val="22"/>
                <w:szCs w:val="22"/>
                <w:lang/>
              </w:rPr>
              <w:t>各县（市、区）政府、开发区（园区）管委会</w:t>
            </w:r>
          </w:p>
        </w:tc>
      </w:tr>
      <w:tr w:rsidR="007A117F" w:rsidTr="00D2155C">
        <w:trPr>
          <w:trHeight w:hRule="exact" w:val="567"/>
          <w:jc w:val="center"/>
        </w:trPr>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lastRenderedPageBreak/>
              <w:t>类别</w:t>
            </w:r>
          </w:p>
        </w:tc>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t>序号</w:t>
            </w:r>
          </w:p>
        </w:tc>
        <w:tc>
          <w:tcPr>
            <w:tcW w:w="7880"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重点任务内容</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牵头部门</w:t>
            </w:r>
          </w:p>
        </w:tc>
        <w:tc>
          <w:tcPr>
            <w:tcW w:w="232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配合部门</w:t>
            </w:r>
          </w:p>
        </w:tc>
      </w:tr>
      <w:tr w:rsidR="007A117F" w:rsidTr="00D2155C">
        <w:trPr>
          <w:trHeight w:hRule="exact" w:val="1110"/>
          <w:jc w:val="center"/>
        </w:trPr>
        <w:tc>
          <w:tcPr>
            <w:tcW w:w="567" w:type="dxa"/>
            <w:vMerge w:val="restart"/>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承</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接</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省</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任</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务</w:t>
            </w: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7</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各地要全面落实行政一把手负责制，结合实际细化实施方案。</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1175"/>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8</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全省重点推动的项目(投资总额</w:t>
            </w:r>
            <w:r>
              <w:rPr>
                <w:rFonts w:eastAsia="方正仿宋_GBK"/>
                <w:color w:val="000000"/>
                <w:kern w:val="0"/>
                <w:sz w:val="24"/>
                <w:lang/>
              </w:rPr>
              <w:t>10</w:t>
            </w:r>
            <w:r>
              <w:rPr>
                <w:rFonts w:ascii="方正仿宋_GBK" w:eastAsia="方正仿宋_GBK" w:hAnsi="方正仿宋_GBK" w:cs="方正仿宋_GBK" w:hint="eastAsia"/>
                <w:color w:val="000000"/>
                <w:kern w:val="0"/>
                <w:sz w:val="24"/>
                <w:lang/>
              </w:rPr>
              <w:t>亿元以上及具有带动、引领和辐射作用的项目)，推行“一个重大项目、一名包保省领导、一个责任地区、一个牵头协调部门、一抓到底”的“五个一”工作机制。</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1558"/>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9</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由省招商引资工作领导小组统一协调确定项目包保省领导和责任地区、牵头协调部门，建档立卡，明确责任，细化分工，按照“谁包保、谁负责”的原则，协调解决项目落地过程中遇到的困难和问题，直至项目落地，投产达效。</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市招商引资工作领导小组成员单位</w:t>
            </w:r>
          </w:p>
        </w:tc>
      </w:tr>
      <w:tr w:rsidR="007A117F" w:rsidTr="00D2155C">
        <w:trPr>
          <w:trHeight w:hRule="exact" w:val="1600"/>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10</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年底对各地区利用内、外资情况进行考核，重点考核当年内特别是四季度外资项目资金到位额增速、内外资项目资金到位额增量、内外资项目资金到位、鼓励类内外资项目资金到位等情况，科学评价各地区招商引资工作实绩，形成年度考核综合排名，纳入绩效考核评价。</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1135"/>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11</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充分发挥招商引资领导小组办公室统筹协调作用，进一步完善工作机制，强化各地主体作用和各部门服务作用，共同破解一批历史遗留问题和瓶颈问题，推动建设一批大项目好项目。</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市招商引资工作领导小组成员单位</w:t>
            </w:r>
          </w:p>
        </w:tc>
      </w:tr>
      <w:tr w:rsidR="007A117F" w:rsidTr="00D2155C">
        <w:trPr>
          <w:trHeight w:hRule="exact" w:val="794"/>
          <w:jc w:val="center"/>
        </w:trPr>
        <w:tc>
          <w:tcPr>
            <w:tcW w:w="567" w:type="dxa"/>
            <w:vMerge w:val="restart"/>
            <w:vAlign w:val="center"/>
          </w:tcPr>
          <w:p w:rsidR="007A117F" w:rsidRDefault="007A117F" w:rsidP="00D2155C">
            <w:pPr>
              <w:widowControl/>
              <w:spacing w:line="240" w:lineRule="exact"/>
              <w:jc w:val="center"/>
              <w:textAlignment w:val="center"/>
              <w:rPr>
                <w:rFonts w:ascii="方正黑体_GBK" w:eastAsia="方正黑体_GBK" w:hAnsi="方正黑体_GBK" w:cs="方正黑体_GBK" w:hint="eastAsia"/>
                <w:color w:val="000000"/>
                <w:spacing w:val="-34"/>
                <w:kern w:val="0"/>
                <w:sz w:val="24"/>
                <w:lang/>
              </w:rPr>
            </w:pPr>
            <w:r>
              <w:rPr>
                <w:rFonts w:ascii="方正小标宋_GBK" w:eastAsia="方正小标宋_GBK" w:hAnsi="方正小标宋_GBK" w:cs="方正小标宋_GBK" w:hint="eastAsia"/>
                <w:spacing w:val="-11"/>
                <w:sz w:val="24"/>
              </w:rPr>
              <w:t>自行确定任务</w:t>
            </w: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12</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开展县处级以上领导干部全员招商活动，广泛对接一批项目。</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市直各部门</w:t>
            </w:r>
          </w:p>
        </w:tc>
      </w:tr>
      <w:tr w:rsidR="007A117F" w:rsidTr="00D2155C">
        <w:trPr>
          <w:trHeight w:hRule="exact" w:val="840"/>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13</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研究制定招商引资激励办法。</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市直各部门</w:t>
            </w:r>
          </w:p>
        </w:tc>
      </w:tr>
      <w:tr w:rsidR="007A117F" w:rsidTr="00D2155C">
        <w:trPr>
          <w:trHeight w:hRule="exact" w:val="567"/>
          <w:jc w:val="center"/>
        </w:trPr>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lastRenderedPageBreak/>
              <w:t>类别</w:t>
            </w:r>
          </w:p>
        </w:tc>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t>序号</w:t>
            </w:r>
          </w:p>
        </w:tc>
        <w:tc>
          <w:tcPr>
            <w:tcW w:w="7880"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重点任务内容</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牵头部门</w:t>
            </w:r>
          </w:p>
        </w:tc>
        <w:tc>
          <w:tcPr>
            <w:tcW w:w="232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配合部门</w:t>
            </w:r>
          </w:p>
        </w:tc>
      </w:tr>
      <w:tr w:rsidR="007A117F" w:rsidTr="00D2155C">
        <w:trPr>
          <w:trHeight w:hRule="exact" w:val="1334"/>
          <w:jc w:val="center"/>
        </w:trPr>
        <w:tc>
          <w:tcPr>
            <w:tcW w:w="567" w:type="dxa"/>
            <w:vMerge w:val="restart"/>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自</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行</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确</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定</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任</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务</w:t>
            </w:r>
          </w:p>
        </w:tc>
        <w:tc>
          <w:tcPr>
            <w:tcW w:w="567"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eastAsia="方正仿宋_GBK" w:hint="eastAsia"/>
                <w:color w:val="000000"/>
                <w:kern w:val="0"/>
                <w:sz w:val="24"/>
                <w:lang/>
              </w:rPr>
              <w:t>14</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探索与中介机构、科研院所等第三方招商平台合作，有效对接一批项目。</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1333"/>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eastAsia="方正仿宋_GBK" w:hint="eastAsia"/>
                <w:color w:val="000000"/>
                <w:kern w:val="0"/>
                <w:sz w:val="24"/>
                <w:lang/>
              </w:rPr>
              <w:t>15</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开展嘉兴台企白城行、走访外埠商会活动。</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2137"/>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eastAsia="方正仿宋_GBK" w:hint="eastAsia"/>
                <w:color w:val="000000"/>
                <w:kern w:val="0"/>
                <w:sz w:val="24"/>
                <w:lang/>
              </w:rPr>
              <w:t>16</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聚焦农村三产融合，按照“种养加销”链条，着力对接农畜水产品精深加工项目，重点加强梅花氨基酸上下游产业链项目对接。聚焦“双谷双基地”建设，按照“制储运用”链条，加快对接制氢装备、燃料电池、整车生产、云计算、灾备基地等项目，重点加强与一汽解放企业有限公司等重点企业对接。</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3357"/>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eastAsia="方正仿宋_GBK" w:hint="eastAsia"/>
                <w:color w:val="000000"/>
                <w:kern w:val="0"/>
                <w:sz w:val="24"/>
                <w:lang/>
              </w:rPr>
              <w:t>17</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第一阶段：确保</w:t>
            </w:r>
            <w:r>
              <w:rPr>
                <w:rFonts w:eastAsia="方正仿宋_GBK" w:hint="eastAsia"/>
                <w:color w:val="000000"/>
                <w:kern w:val="0"/>
                <w:sz w:val="24"/>
                <w:lang/>
              </w:rPr>
              <w:t>12</w:t>
            </w:r>
            <w:r>
              <w:rPr>
                <w:rFonts w:ascii="方正仿宋_GBK" w:eastAsia="方正仿宋_GBK" w:hAnsi="方正仿宋_GBK" w:cs="方正仿宋_GBK" w:hint="eastAsia"/>
                <w:color w:val="000000"/>
                <w:kern w:val="0"/>
                <w:sz w:val="24"/>
                <w:lang/>
              </w:rPr>
              <w:t>月末前谋划首批重点项目</w:t>
            </w:r>
            <w:r>
              <w:rPr>
                <w:rFonts w:eastAsia="方正仿宋_GBK"/>
                <w:color w:val="000000"/>
                <w:kern w:val="0"/>
                <w:sz w:val="24"/>
                <w:lang/>
              </w:rPr>
              <w:t>23</w:t>
            </w:r>
            <w:r>
              <w:rPr>
                <w:rFonts w:ascii="方正仿宋_GBK" w:eastAsia="方正仿宋_GBK" w:hAnsi="方正仿宋_GBK" w:cs="方正仿宋_GBK" w:hint="eastAsia"/>
                <w:color w:val="000000"/>
                <w:kern w:val="0"/>
                <w:sz w:val="24"/>
                <w:lang/>
              </w:rPr>
              <w:t>个以上,并纳入省级层面升级整理、新包装重点项目库。其中，五个县（市、区）、白城经济开发区管委会、白城工业园区管委会别新谋划亿元以上高质量项目不少于</w:t>
            </w:r>
            <w:r>
              <w:rPr>
                <w:rFonts w:eastAsia="方正仿宋_GBK" w:hint="eastAsia"/>
                <w:color w:val="000000"/>
                <w:kern w:val="0"/>
                <w:sz w:val="24"/>
                <w:lang/>
              </w:rPr>
              <w:t>3</w:t>
            </w:r>
            <w:r>
              <w:rPr>
                <w:rFonts w:ascii="方正仿宋_GBK" w:eastAsia="方正仿宋_GBK" w:hAnsi="方正仿宋_GBK" w:cs="方正仿宋_GBK" w:hint="eastAsia"/>
                <w:color w:val="000000"/>
                <w:kern w:val="0"/>
                <w:sz w:val="24"/>
                <w:lang/>
              </w:rPr>
              <w:t>个；查干浩特旅游经济开发区管委会新谋划项目不少于</w:t>
            </w:r>
            <w:r>
              <w:rPr>
                <w:rFonts w:eastAsia="方正仿宋_GBK" w:hint="eastAsia"/>
                <w:color w:val="000000"/>
                <w:kern w:val="0"/>
                <w:sz w:val="24"/>
                <w:lang/>
              </w:rPr>
              <w:t>2</w:t>
            </w:r>
            <w:r>
              <w:rPr>
                <w:rFonts w:ascii="方正仿宋_GBK" w:eastAsia="方正仿宋_GBK" w:hAnsi="方正仿宋_GBK" w:cs="方正仿宋_GBK" w:hint="eastAsia"/>
                <w:color w:val="000000"/>
                <w:kern w:val="0"/>
                <w:sz w:val="24"/>
                <w:lang/>
              </w:rPr>
              <w:t>个。确保</w:t>
            </w:r>
            <w:r>
              <w:rPr>
                <w:rFonts w:eastAsia="方正仿宋_GBK" w:hint="eastAsia"/>
                <w:color w:val="000000"/>
                <w:kern w:val="0"/>
                <w:sz w:val="24"/>
                <w:lang/>
              </w:rPr>
              <w:t>12</w:t>
            </w:r>
            <w:r>
              <w:rPr>
                <w:rFonts w:ascii="方正仿宋_GBK" w:eastAsia="方正仿宋_GBK" w:hAnsi="方正仿宋_GBK" w:cs="方正仿宋_GBK" w:hint="eastAsia"/>
                <w:color w:val="000000"/>
                <w:kern w:val="0"/>
                <w:sz w:val="24"/>
                <w:lang/>
              </w:rPr>
              <w:t>月末前全市新签约项目额不少于</w:t>
            </w:r>
            <w:r>
              <w:rPr>
                <w:rFonts w:eastAsia="方正仿宋_GBK" w:hint="eastAsia"/>
                <w:color w:val="000000"/>
                <w:kern w:val="0"/>
                <w:sz w:val="24"/>
                <w:lang/>
              </w:rPr>
              <w:t>75</w:t>
            </w:r>
            <w:r>
              <w:rPr>
                <w:rFonts w:ascii="方正仿宋_GBK" w:eastAsia="方正仿宋_GBK" w:hAnsi="方正仿宋_GBK" w:cs="方正仿宋_GBK" w:hint="eastAsia"/>
                <w:color w:val="000000"/>
                <w:kern w:val="0"/>
                <w:sz w:val="24"/>
                <w:lang/>
              </w:rPr>
              <w:t>亿元，其中，五个县（市、区）、白城经济开发区管委会、白城工业园区管委会签约合同额均不少于</w:t>
            </w:r>
            <w:r>
              <w:rPr>
                <w:rFonts w:eastAsia="方正仿宋_GBK" w:hint="eastAsia"/>
                <w:color w:val="000000"/>
                <w:kern w:val="0"/>
                <w:sz w:val="24"/>
                <w:lang/>
              </w:rPr>
              <w:t>10</w:t>
            </w:r>
            <w:r>
              <w:rPr>
                <w:rFonts w:ascii="方正仿宋_GBK" w:eastAsia="方正仿宋_GBK" w:hAnsi="方正仿宋_GBK" w:cs="方正仿宋_GBK" w:hint="eastAsia"/>
                <w:color w:val="000000"/>
                <w:kern w:val="0"/>
                <w:sz w:val="24"/>
                <w:lang/>
              </w:rPr>
              <w:t>亿元，查干浩特旅游经济开发区管委会不少于</w:t>
            </w:r>
            <w:r>
              <w:rPr>
                <w:rFonts w:eastAsia="方正仿宋_GBK" w:hint="eastAsia"/>
                <w:color w:val="000000"/>
                <w:kern w:val="0"/>
                <w:sz w:val="24"/>
                <w:lang/>
              </w:rPr>
              <w:t>5</w:t>
            </w:r>
            <w:r>
              <w:rPr>
                <w:rFonts w:ascii="方正仿宋_GBK" w:eastAsia="方正仿宋_GBK" w:hAnsi="方正仿宋_GBK" w:cs="方正仿宋_GBK" w:hint="eastAsia"/>
                <w:color w:val="000000"/>
                <w:kern w:val="0"/>
                <w:sz w:val="24"/>
                <w:lang/>
              </w:rPr>
              <w:t>亿元。签约项目合同签约额应在</w:t>
            </w:r>
            <w:r>
              <w:rPr>
                <w:rFonts w:eastAsia="方正仿宋_GBK" w:hint="eastAsia"/>
                <w:color w:val="000000"/>
                <w:kern w:val="0"/>
                <w:sz w:val="24"/>
                <w:lang/>
              </w:rPr>
              <w:t>3000</w:t>
            </w:r>
            <w:r>
              <w:rPr>
                <w:rFonts w:ascii="方正仿宋_GBK" w:eastAsia="方正仿宋_GBK" w:hAnsi="方正仿宋_GBK" w:cs="方正仿宋_GBK" w:hint="eastAsia"/>
                <w:color w:val="000000"/>
                <w:kern w:val="0"/>
                <w:sz w:val="24"/>
                <w:lang/>
              </w:rPr>
              <w:t>万元以上，签约时间为</w:t>
            </w:r>
            <w:r>
              <w:rPr>
                <w:rFonts w:eastAsia="方正仿宋_GBK" w:hint="eastAsia"/>
                <w:color w:val="000000"/>
                <w:kern w:val="0"/>
                <w:sz w:val="24"/>
                <w:lang/>
              </w:rPr>
              <w:t>2019</w:t>
            </w:r>
            <w:r>
              <w:rPr>
                <w:rFonts w:ascii="方正仿宋_GBK" w:eastAsia="方正仿宋_GBK" w:hAnsi="方正仿宋_GBK" w:cs="方正仿宋_GBK" w:hint="eastAsia"/>
                <w:color w:val="000000"/>
                <w:kern w:val="0"/>
                <w:sz w:val="24"/>
                <w:lang/>
              </w:rPr>
              <w:t>年</w:t>
            </w:r>
            <w:r>
              <w:rPr>
                <w:rFonts w:eastAsia="方正仿宋_GBK" w:hint="eastAsia"/>
                <w:color w:val="000000"/>
                <w:kern w:val="0"/>
                <w:sz w:val="24"/>
                <w:lang/>
              </w:rPr>
              <w:t>11</w:t>
            </w:r>
            <w:r>
              <w:rPr>
                <w:rFonts w:ascii="方正仿宋_GBK" w:eastAsia="方正仿宋_GBK" w:hAnsi="方正仿宋_GBK" w:cs="方正仿宋_GBK" w:hint="eastAsia"/>
                <w:color w:val="000000"/>
                <w:kern w:val="0"/>
                <w:sz w:val="24"/>
                <w:lang/>
              </w:rPr>
              <w:t>月—</w:t>
            </w:r>
            <w:r>
              <w:rPr>
                <w:rFonts w:eastAsia="方正仿宋_GBK" w:hint="eastAsia"/>
                <w:color w:val="000000"/>
                <w:kern w:val="0"/>
                <w:sz w:val="24"/>
                <w:lang/>
              </w:rPr>
              <w:t>2019</w:t>
            </w:r>
            <w:r>
              <w:rPr>
                <w:rFonts w:ascii="方正仿宋_GBK" w:eastAsia="方正仿宋_GBK" w:hAnsi="方正仿宋_GBK" w:cs="方正仿宋_GBK" w:hint="eastAsia"/>
                <w:color w:val="000000"/>
                <w:kern w:val="0"/>
                <w:sz w:val="24"/>
                <w:lang/>
              </w:rPr>
              <w:t>年</w:t>
            </w:r>
            <w:r>
              <w:rPr>
                <w:rFonts w:eastAsia="方正仿宋_GBK" w:hint="eastAsia"/>
                <w:color w:val="000000"/>
                <w:kern w:val="0"/>
                <w:sz w:val="24"/>
                <w:lang/>
              </w:rPr>
              <w:t>12</w:t>
            </w:r>
            <w:r>
              <w:rPr>
                <w:rFonts w:ascii="方正仿宋_GBK" w:eastAsia="方正仿宋_GBK" w:hAnsi="方正仿宋_GBK" w:cs="方正仿宋_GBK" w:hint="eastAsia"/>
                <w:color w:val="000000"/>
                <w:kern w:val="0"/>
                <w:sz w:val="24"/>
                <w:lang/>
              </w:rPr>
              <w:t>月末。</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567"/>
          <w:jc w:val="center"/>
        </w:trPr>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lastRenderedPageBreak/>
              <w:t>类别</w:t>
            </w:r>
          </w:p>
        </w:tc>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t>序号</w:t>
            </w:r>
          </w:p>
        </w:tc>
        <w:tc>
          <w:tcPr>
            <w:tcW w:w="7880"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重点任务内容</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牵头部门</w:t>
            </w:r>
          </w:p>
        </w:tc>
        <w:tc>
          <w:tcPr>
            <w:tcW w:w="232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配合部门</w:t>
            </w:r>
          </w:p>
        </w:tc>
      </w:tr>
      <w:tr w:rsidR="007A117F" w:rsidTr="00D2155C">
        <w:trPr>
          <w:trHeight w:hRule="exact" w:val="2846"/>
          <w:jc w:val="center"/>
        </w:trPr>
        <w:tc>
          <w:tcPr>
            <w:tcW w:w="567" w:type="dxa"/>
            <w:vMerge w:val="restart"/>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自</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行</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确</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定</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任</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务</w:t>
            </w:r>
          </w:p>
        </w:tc>
        <w:tc>
          <w:tcPr>
            <w:tcW w:w="567"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eastAsia="方正仿宋_GBK" w:hint="eastAsia"/>
                <w:color w:val="000000"/>
                <w:kern w:val="0"/>
                <w:sz w:val="24"/>
                <w:lang/>
              </w:rPr>
              <w:t>18</w:t>
            </w:r>
          </w:p>
        </w:tc>
        <w:tc>
          <w:tcPr>
            <w:tcW w:w="7880"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第二阶段：确</w:t>
            </w:r>
            <w:r>
              <w:rPr>
                <w:rFonts w:eastAsia="方正仿宋_GBK" w:hint="eastAsia"/>
                <w:color w:val="000000"/>
                <w:kern w:val="0"/>
                <w:sz w:val="24"/>
                <w:lang/>
              </w:rPr>
              <w:t>保</w:t>
            </w:r>
            <w:r>
              <w:rPr>
                <w:rFonts w:eastAsia="方正仿宋_GBK" w:hint="eastAsia"/>
                <w:color w:val="000000"/>
                <w:kern w:val="0"/>
                <w:sz w:val="24"/>
                <w:lang/>
              </w:rPr>
              <w:t>2020</w:t>
            </w:r>
            <w:r>
              <w:rPr>
                <w:rFonts w:eastAsia="方正仿宋_GBK" w:hint="eastAsia"/>
                <w:color w:val="000000"/>
                <w:kern w:val="0"/>
                <w:sz w:val="24"/>
                <w:lang/>
              </w:rPr>
              <w:t>年</w:t>
            </w:r>
            <w:r>
              <w:rPr>
                <w:rFonts w:eastAsia="方正仿宋_GBK" w:hint="eastAsia"/>
                <w:color w:val="000000"/>
                <w:kern w:val="0"/>
                <w:sz w:val="24"/>
                <w:lang/>
              </w:rPr>
              <w:t>6</w:t>
            </w:r>
            <w:r>
              <w:rPr>
                <w:rFonts w:eastAsia="方正仿宋_GBK" w:hint="eastAsia"/>
                <w:color w:val="000000"/>
                <w:kern w:val="0"/>
                <w:sz w:val="24"/>
                <w:lang/>
              </w:rPr>
              <w:t>月末前谋划第二批重点项目</w:t>
            </w:r>
            <w:r>
              <w:rPr>
                <w:rFonts w:eastAsia="方正仿宋_GBK" w:hint="eastAsia"/>
                <w:color w:val="000000"/>
                <w:kern w:val="0"/>
                <w:sz w:val="24"/>
                <w:lang/>
              </w:rPr>
              <w:t>45</w:t>
            </w:r>
            <w:r>
              <w:rPr>
                <w:rFonts w:eastAsia="方正仿宋_GBK" w:hint="eastAsia"/>
                <w:color w:val="000000"/>
                <w:kern w:val="0"/>
                <w:sz w:val="24"/>
                <w:lang/>
              </w:rPr>
              <w:t>个以上</w:t>
            </w:r>
            <w:r>
              <w:rPr>
                <w:rFonts w:eastAsia="方正仿宋_GBK" w:hint="eastAsia"/>
                <w:color w:val="000000"/>
                <w:kern w:val="0"/>
                <w:sz w:val="24"/>
                <w:lang/>
              </w:rPr>
              <w:t>,</w:t>
            </w:r>
            <w:r>
              <w:rPr>
                <w:rFonts w:eastAsia="方正仿宋_GBK" w:hint="eastAsia"/>
                <w:color w:val="000000"/>
                <w:kern w:val="0"/>
                <w:sz w:val="24"/>
                <w:lang/>
              </w:rPr>
              <w:t>力争纳入省级层面升级整理、新包装重点项目库。其中，五个县（市、区）、</w:t>
            </w:r>
            <w:r>
              <w:rPr>
                <w:rFonts w:ascii="方正仿宋_GBK" w:eastAsia="方正仿宋_GBK" w:hAnsi="方正仿宋_GBK" w:cs="方正仿宋_GBK" w:hint="eastAsia"/>
                <w:color w:val="000000"/>
                <w:kern w:val="0"/>
                <w:sz w:val="24"/>
                <w:lang/>
              </w:rPr>
              <w:t>白城经济开发区管委会、白城工业园区管委会</w:t>
            </w:r>
            <w:r>
              <w:rPr>
                <w:rFonts w:eastAsia="方正仿宋_GBK" w:hint="eastAsia"/>
                <w:color w:val="000000"/>
                <w:kern w:val="0"/>
                <w:sz w:val="24"/>
                <w:lang/>
              </w:rPr>
              <w:t>分别新谋划亿元以上高质量项目不少于</w:t>
            </w:r>
            <w:r>
              <w:rPr>
                <w:rFonts w:eastAsia="方正仿宋_GBK" w:hint="eastAsia"/>
                <w:color w:val="000000"/>
                <w:kern w:val="0"/>
                <w:sz w:val="24"/>
                <w:lang/>
              </w:rPr>
              <w:t>6</w:t>
            </w:r>
            <w:r>
              <w:rPr>
                <w:rFonts w:eastAsia="方正仿宋_GBK" w:hint="eastAsia"/>
                <w:color w:val="000000"/>
                <w:kern w:val="0"/>
                <w:sz w:val="24"/>
                <w:lang/>
              </w:rPr>
              <w:t>个；查干浩特旅游经济开发区管委会新谋划项目不少于</w:t>
            </w:r>
            <w:r>
              <w:rPr>
                <w:rFonts w:eastAsia="方正仿宋_GBK" w:hint="eastAsia"/>
                <w:color w:val="000000"/>
                <w:kern w:val="0"/>
                <w:sz w:val="24"/>
                <w:lang/>
              </w:rPr>
              <w:t>3</w:t>
            </w:r>
            <w:r>
              <w:rPr>
                <w:rFonts w:eastAsia="方正仿宋_GBK" w:hint="eastAsia"/>
                <w:color w:val="000000"/>
                <w:kern w:val="0"/>
                <w:sz w:val="24"/>
                <w:lang/>
              </w:rPr>
              <w:t>个。确保</w:t>
            </w:r>
            <w:r>
              <w:rPr>
                <w:rFonts w:eastAsia="方正仿宋_GBK" w:hint="eastAsia"/>
                <w:color w:val="000000"/>
                <w:kern w:val="0"/>
                <w:sz w:val="24"/>
                <w:lang/>
              </w:rPr>
              <w:t>2020</w:t>
            </w:r>
            <w:r>
              <w:rPr>
                <w:rFonts w:eastAsia="方正仿宋_GBK" w:hint="eastAsia"/>
                <w:color w:val="000000"/>
                <w:kern w:val="0"/>
                <w:sz w:val="24"/>
                <w:lang/>
              </w:rPr>
              <w:t>年</w:t>
            </w:r>
            <w:r>
              <w:rPr>
                <w:rFonts w:eastAsia="方正仿宋_GBK" w:hint="eastAsia"/>
                <w:color w:val="000000"/>
                <w:kern w:val="0"/>
                <w:sz w:val="24"/>
                <w:lang/>
              </w:rPr>
              <w:t>6</w:t>
            </w:r>
            <w:r>
              <w:rPr>
                <w:rFonts w:eastAsia="方正仿宋_GBK" w:hint="eastAsia"/>
                <w:color w:val="000000"/>
                <w:kern w:val="0"/>
                <w:sz w:val="24"/>
                <w:lang/>
              </w:rPr>
              <w:t>月末前签约项目额不少于</w:t>
            </w:r>
            <w:r>
              <w:rPr>
                <w:rFonts w:eastAsia="方正仿宋_GBK" w:hint="eastAsia"/>
                <w:color w:val="000000"/>
                <w:kern w:val="0"/>
                <w:sz w:val="24"/>
                <w:lang/>
              </w:rPr>
              <w:t>110</w:t>
            </w:r>
            <w:r>
              <w:rPr>
                <w:rFonts w:eastAsia="方正仿宋_GBK" w:hint="eastAsia"/>
                <w:color w:val="000000"/>
                <w:kern w:val="0"/>
                <w:sz w:val="24"/>
                <w:lang/>
              </w:rPr>
              <w:t>亿元，其中，</w:t>
            </w:r>
            <w:r>
              <w:rPr>
                <w:rFonts w:eastAsia="方正仿宋_GBK"/>
                <w:color w:val="000000"/>
                <w:kern w:val="0"/>
                <w:sz w:val="24"/>
                <w:lang/>
              </w:rPr>
              <w:t>五个县（市、区）、</w:t>
            </w:r>
            <w:r>
              <w:rPr>
                <w:rFonts w:ascii="方正仿宋_GBK" w:eastAsia="方正仿宋_GBK" w:hAnsi="方正仿宋_GBK" w:cs="方正仿宋_GBK" w:hint="eastAsia"/>
                <w:color w:val="000000"/>
                <w:kern w:val="0"/>
                <w:sz w:val="24"/>
                <w:lang/>
              </w:rPr>
              <w:t>白城经济开发区管委会、白城工业园区管委会</w:t>
            </w:r>
            <w:r>
              <w:rPr>
                <w:rFonts w:eastAsia="方正仿宋_GBK"/>
                <w:color w:val="000000"/>
                <w:kern w:val="0"/>
                <w:sz w:val="24"/>
                <w:lang/>
              </w:rPr>
              <w:t>签约合同额均不少于</w:t>
            </w:r>
            <w:r>
              <w:rPr>
                <w:rFonts w:eastAsia="方正仿宋_GBK"/>
                <w:color w:val="000000"/>
                <w:kern w:val="0"/>
                <w:sz w:val="24"/>
                <w:lang/>
              </w:rPr>
              <w:t>15</w:t>
            </w:r>
            <w:r>
              <w:rPr>
                <w:rFonts w:eastAsia="方正仿宋_GBK"/>
                <w:color w:val="000000"/>
                <w:kern w:val="0"/>
                <w:sz w:val="24"/>
                <w:lang/>
              </w:rPr>
              <w:t>亿元，查干浩特</w:t>
            </w:r>
            <w:r>
              <w:rPr>
                <w:rFonts w:eastAsia="方正仿宋_GBK" w:hint="eastAsia"/>
                <w:color w:val="000000"/>
                <w:kern w:val="0"/>
                <w:sz w:val="24"/>
                <w:lang/>
              </w:rPr>
              <w:t>旅游经济开发区管委会</w:t>
            </w:r>
            <w:r>
              <w:rPr>
                <w:rFonts w:eastAsia="方正仿宋_GBK"/>
                <w:color w:val="000000"/>
                <w:kern w:val="0"/>
                <w:sz w:val="24"/>
                <w:lang/>
              </w:rPr>
              <w:t>不少于</w:t>
            </w:r>
            <w:r>
              <w:rPr>
                <w:rFonts w:eastAsia="方正仿宋_GBK"/>
                <w:color w:val="000000"/>
                <w:kern w:val="0"/>
                <w:sz w:val="24"/>
                <w:lang/>
              </w:rPr>
              <w:t>5</w:t>
            </w:r>
            <w:r>
              <w:rPr>
                <w:rFonts w:eastAsia="方正仿宋_GBK"/>
                <w:color w:val="000000"/>
                <w:kern w:val="0"/>
                <w:sz w:val="24"/>
                <w:lang/>
              </w:rPr>
              <w:t>亿元。签约项目合同签约额应在</w:t>
            </w:r>
            <w:r>
              <w:rPr>
                <w:rFonts w:eastAsia="方正仿宋_GBK"/>
                <w:color w:val="000000"/>
                <w:kern w:val="0"/>
                <w:sz w:val="24"/>
                <w:lang/>
              </w:rPr>
              <w:t>3000</w:t>
            </w:r>
            <w:r>
              <w:rPr>
                <w:rFonts w:eastAsia="方正仿宋_GBK"/>
                <w:color w:val="000000"/>
                <w:kern w:val="0"/>
                <w:sz w:val="24"/>
                <w:lang/>
              </w:rPr>
              <w:t>万元以上，签约时间为</w:t>
            </w:r>
            <w:r>
              <w:rPr>
                <w:rFonts w:eastAsia="方正仿宋_GBK"/>
                <w:color w:val="000000"/>
                <w:kern w:val="0"/>
                <w:sz w:val="24"/>
                <w:lang/>
              </w:rPr>
              <w:t>2020</w:t>
            </w:r>
            <w:r>
              <w:rPr>
                <w:rFonts w:eastAsia="方正仿宋_GBK"/>
                <w:color w:val="000000"/>
                <w:kern w:val="0"/>
                <w:sz w:val="24"/>
                <w:lang/>
              </w:rPr>
              <w:t>年</w:t>
            </w:r>
            <w:r>
              <w:rPr>
                <w:rFonts w:eastAsia="方正仿宋_GBK"/>
                <w:color w:val="000000"/>
                <w:kern w:val="0"/>
                <w:sz w:val="24"/>
                <w:lang/>
              </w:rPr>
              <w:t>1</w:t>
            </w:r>
            <w:r>
              <w:rPr>
                <w:rFonts w:eastAsia="方正仿宋_GBK"/>
                <w:color w:val="000000"/>
                <w:kern w:val="0"/>
                <w:sz w:val="24"/>
                <w:lang/>
              </w:rPr>
              <w:t>月</w:t>
            </w:r>
            <w:r>
              <w:rPr>
                <w:rFonts w:eastAsia="方正仿宋_GBK"/>
                <w:color w:val="000000"/>
                <w:kern w:val="0"/>
                <w:sz w:val="24"/>
                <w:lang/>
              </w:rPr>
              <w:t>—2020</w:t>
            </w:r>
            <w:r>
              <w:rPr>
                <w:rFonts w:eastAsia="方正仿宋_GBK"/>
                <w:color w:val="000000"/>
                <w:kern w:val="0"/>
                <w:sz w:val="24"/>
                <w:lang/>
              </w:rPr>
              <w:t>年</w:t>
            </w:r>
            <w:r>
              <w:rPr>
                <w:rFonts w:eastAsia="方正仿宋_GBK"/>
                <w:color w:val="000000"/>
                <w:kern w:val="0"/>
                <w:sz w:val="24"/>
                <w:lang/>
              </w:rPr>
              <w:t>6</w:t>
            </w:r>
            <w:r>
              <w:rPr>
                <w:rFonts w:eastAsia="方正仿宋_GBK"/>
                <w:color w:val="000000"/>
                <w:kern w:val="0"/>
                <w:sz w:val="24"/>
                <w:lang/>
              </w:rPr>
              <w:t>月末。</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2478"/>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19</w:t>
            </w:r>
          </w:p>
        </w:tc>
        <w:tc>
          <w:tcPr>
            <w:tcW w:w="7880"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推动重点项目落地。对深圳嘉联特色医疗器械产业园项目、北京米高生物质肥项目、安徽海泉生物质热电联产项目、牧原集团</w:t>
            </w:r>
            <w:r>
              <w:rPr>
                <w:rFonts w:eastAsia="方正仿宋_GBK"/>
                <w:color w:val="000000"/>
                <w:kern w:val="0"/>
                <w:sz w:val="24"/>
                <w:lang/>
              </w:rPr>
              <w:t>30</w:t>
            </w:r>
            <w:r>
              <w:rPr>
                <w:rFonts w:eastAsia="方正仿宋_GBK"/>
                <w:color w:val="000000"/>
                <w:kern w:val="0"/>
                <w:sz w:val="24"/>
                <w:lang/>
              </w:rPr>
              <w:t>万吨饲料加工项目、杭萧钢构建筑材料生产项目等当前亟需推动的重点项目，要于两日内列出清单、排出日程，由市县领导带队赴投资企业予以助推。各地要制定重点项目推进计划，对投资方提出问的题认真研究、及时解决、及时回复，用工作效率推动项目落地进程。</w:t>
            </w:r>
          </w:p>
        </w:tc>
        <w:tc>
          <w:tcPr>
            <w:tcW w:w="1304"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市商务局</w:t>
            </w:r>
          </w:p>
        </w:tc>
        <w:tc>
          <w:tcPr>
            <w:tcW w:w="2324"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各县（市、区）政府、开发区（园区）管委会</w:t>
            </w:r>
          </w:p>
        </w:tc>
      </w:tr>
      <w:tr w:rsidR="007A117F" w:rsidTr="00D2155C">
        <w:trPr>
          <w:trHeight w:hRule="exact" w:val="1240"/>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20</w:t>
            </w:r>
          </w:p>
        </w:tc>
        <w:tc>
          <w:tcPr>
            <w:tcW w:w="7880"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推动在谈项目签约，重点推动</w:t>
            </w:r>
            <w:r>
              <w:rPr>
                <w:rFonts w:eastAsia="方正仿宋_GBK"/>
                <w:color w:val="000000"/>
                <w:kern w:val="0"/>
                <w:sz w:val="24"/>
                <w:lang/>
              </w:rPr>
              <w:t>43</w:t>
            </w:r>
            <w:r>
              <w:rPr>
                <w:rFonts w:eastAsia="方正仿宋_GBK"/>
                <w:color w:val="000000"/>
                <w:kern w:val="0"/>
                <w:sz w:val="24"/>
                <w:lang/>
              </w:rPr>
              <w:t>个在谈项目签约。</w:t>
            </w:r>
          </w:p>
        </w:tc>
        <w:tc>
          <w:tcPr>
            <w:tcW w:w="1304"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市商务局</w:t>
            </w:r>
          </w:p>
        </w:tc>
        <w:tc>
          <w:tcPr>
            <w:tcW w:w="2324"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各县（市、区）政府、开发区（园区）管委会</w:t>
            </w:r>
          </w:p>
        </w:tc>
      </w:tr>
      <w:tr w:rsidR="007A117F" w:rsidTr="00D2155C">
        <w:trPr>
          <w:trHeight w:hRule="exact" w:val="1592"/>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21</w:t>
            </w:r>
          </w:p>
        </w:tc>
        <w:tc>
          <w:tcPr>
            <w:tcW w:w="7880"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推动签约项目开工，重点推动</w:t>
            </w:r>
            <w:r>
              <w:rPr>
                <w:rFonts w:eastAsia="方正仿宋_GBK"/>
                <w:color w:val="000000"/>
                <w:kern w:val="0"/>
                <w:sz w:val="24"/>
                <w:lang/>
              </w:rPr>
              <w:t>24</w:t>
            </w:r>
            <w:r>
              <w:rPr>
                <w:rFonts w:eastAsia="方正仿宋_GBK"/>
                <w:color w:val="000000"/>
                <w:kern w:val="0"/>
                <w:sz w:val="24"/>
                <w:lang/>
              </w:rPr>
              <w:t>个</w:t>
            </w:r>
            <w:r>
              <w:rPr>
                <w:rFonts w:eastAsia="方正仿宋_GBK"/>
                <w:color w:val="000000"/>
                <w:kern w:val="0"/>
                <w:sz w:val="24"/>
                <w:lang/>
              </w:rPr>
              <w:t>2019</w:t>
            </w:r>
            <w:r>
              <w:rPr>
                <w:rFonts w:eastAsia="方正仿宋_GBK"/>
                <w:color w:val="000000"/>
                <w:kern w:val="0"/>
                <w:sz w:val="24"/>
                <w:lang/>
              </w:rPr>
              <w:t>年签约的重点项目开工。</w:t>
            </w:r>
          </w:p>
        </w:tc>
        <w:tc>
          <w:tcPr>
            <w:tcW w:w="1304"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市商务局</w:t>
            </w:r>
          </w:p>
        </w:tc>
        <w:tc>
          <w:tcPr>
            <w:tcW w:w="2324"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各县（市、区）政府、开发区（园区）管委会</w:t>
            </w:r>
          </w:p>
        </w:tc>
      </w:tr>
      <w:tr w:rsidR="007A117F" w:rsidTr="00D2155C">
        <w:trPr>
          <w:trHeight w:hRule="exact" w:val="567"/>
          <w:jc w:val="center"/>
        </w:trPr>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lastRenderedPageBreak/>
              <w:t>类别</w:t>
            </w:r>
          </w:p>
        </w:tc>
        <w:tc>
          <w:tcPr>
            <w:tcW w:w="567"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34"/>
                <w:sz w:val="24"/>
              </w:rPr>
            </w:pPr>
            <w:r>
              <w:rPr>
                <w:rFonts w:ascii="方正黑体_GBK" w:eastAsia="方正黑体_GBK" w:hAnsi="方正黑体_GBK" w:cs="方正黑体_GBK" w:hint="eastAsia"/>
                <w:color w:val="000000"/>
                <w:spacing w:val="-34"/>
                <w:kern w:val="0"/>
                <w:sz w:val="24"/>
                <w:lang/>
              </w:rPr>
              <w:t>序号</w:t>
            </w:r>
          </w:p>
        </w:tc>
        <w:tc>
          <w:tcPr>
            <w:tcW w:w="7880"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重点任务内容</w:t>
            </w:r>
          </w:p>
        </w:tc>
        <w:tc>
          <w:tcPr>
            <w:tcW w:w="130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牵头部门</w:t>
            </w:r>
          </w:p>
        </w:tc>
        <w:tc>
          <w:tcPr>
            <w:tcW w:w="2324" w:type="dxa"/>
            <w:vAlign w:val="center"/>
          </w:tcPr>
          <w:p w:rsidR="007A117F" w:rsidRDefault="007A117F" w:rsidP="00D2155C">
            <w:pPr>
              <w:widowControl/>
              <w:jc w:val="center"/>
              <w:textAlignment w:val="center"/>
              <w:rPr>
                <w:rFonts w:ascii="方正黑体_GBK" w:eastAsia="方正黑体_GBK" w:hAnsi="方正黑体_GBK" w:cs="方正黑体_GBK" w:hint="eastAsia"/>
                <w:spacing w:val="-11"/>
                <w:sz w:val="24"/>
              </w:rPr>
            </w:pPr>
            <w:r>
              <w:rPr>
                <w:rFonts w:ascii="方正黑体_GBK" w:eastAsia="方正黑体_GBK" w:hAnsi="方正黑体_GBK" w:cs="方正黑体_GBK" w:hint="eastAsia"/>
                <w:color w:val="000000"/>
                <w:kern w:val="0"/>
                <w:sz w:val="24"/>
                <w:lang/>
              </w:rPr>
              <w:t>配合部门</w:t>
            </w:r>
          </w:p>
        </w:tc>
      </w:tr>
      <w:tr w:rsidR="007A117F" w:rsidTr="00D2155C">
        <w:trPr>
          <w:trHeight w:hRule="exact" w:val="1279"/>
          <w:jc w:val="center"/>
        </w:trPr>
        <w:tc>
          <w:tcPr>
            <w:tcW w:w="567" w:type="dxa"/>
            <w:vMerge w:val="restart"/>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自</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行</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确</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定</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任</w:t>
            </w:r>
          </w:p>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r>
              <w:rPr>
                <w:rFonts w:ascii="方正黑体_GBK" w:eastAsia="方正黑体_GBK" w:hAnsi="方正黑体_GBK" w:cs="方正黑体_GBK" w:hint="eastAsia"/>
                <w:color w:val="000000"/>
                <w:spacing w:val="-34"/>
                <w:kern w:val="0"/>
                <w:sz w:val="24"/>
                <w:lang/>
              </w:rPr>
              <w:t>务</w:t>
            </w: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22</w:t>
            </w:r>
          </w:p>
        </w:tc>
        <w:tc>
          <w:tcPr>
            <w:tcW w:w="7880"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成立招商引资专项攻坚行动领导小组，定期召开调度会，听取重点项目进展情况，研究解决建设过程中存在的问题和困难。</w:t>
            </w:r>
          </w:p>
        </w:tc>
        <w:tc>
          <w:tcPr>
            <w:tcW w:w="1304"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市商务局</w:t>
            </w:r>
          </w:p>
        </w:tc>
        <w:tc>
          <w:tcPr>
            <w:tcW w:w="2324"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各县（市、区）政府、开发区（园区）管委会</w:t>
            </w:r>
          </w:p>
        </w:tc>
      </w:tr>
      <w:tr w:rsidR="007A117F" w:rsidTr="00D2155C">
        <w:trPr>
          <w:trHeight w:hRule="exact" w:val="1593"/>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24</w:t>
            </w:r>
          </w:p>
        </w:tc>
        <w:tc>
          <w:tcPr>
            <w:tcW w:w="7880"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各地各有关部门每</w:t>
            </w:r>
            <w:r>
              <w:rPr>
                <w:rFonts w:eastAsia="方正仿宋_GBK"/>
                <w:color w:val="000000"/>
                <w:kern w:val="0"/>
                <w:sz w:val="24"/>
                <w:lang/>
              </w:rPr>
              <w:t>10</w:t>
            </w:r>
            <w:r>
              <w:rPr>
                <w:rFonts w:eastAsia="方正仿宋_GBK"/>
                <w:color w:val="000000"/>
                <w:kern w:val="0"/>
                <w:sz w:val="24"/>
                <w:lang/>
              </w:rPr>
              <w:t>天（每月</w:t>
            </w:r>
            <w:r>
              <w:rPr>
                <w:rFonts w:eastAsia="方正仿宋_GBK"/>
                <w:color w:val="000000"/>
                <w:kern w:val="0"/>
                <w:sz w:val="24"/>
                <w:lang/>
              </w:rPr>
              <w:t>8</w:t>
            </w:r>
            <w:r>
              <w:rPr>
                <w:rFonts w:eastAsia="方正仿宋_GBK"/>
                <w:color w:val="000000"/>
                <w:kern w:val="0"/>
                <w:sz w:val="24"/>
                <w:lang/>
              </w:rPr>
              <w:t>日、</w:t>
            </w:r>
            <w:r>
              <w:rPr>
                <w:rFonts w:eastAsia="方正仿宋_GBK"/>
                <w:color w:val="000000"/>
                <w:kern w:val="0"/>
                <w:sz w:val="24"/>
                <w:lang/>
              </w:rPr>
              <w:t>18</w:t>
            </w:r>
            <w:r>
              <w:rPr>
                <w:rFonts w:eastAsia="方正仿宋_GBK"/>
                <w:color w:val="000000"/>
                <w:kern w:val="0"/>
                <w:sz w:val="24"/>
                <w:lang/>
              </w:rPr>
              <w:t>日、</w:t>
            </w:r>
            <w:r>
              <w:rPr>
                <w:rFonts w:eastAsia="方正仿宋_GBK"/>
                <w:color w:val="000000"/>
                <w:kern w:val="0"/>
                <w:sz w:val="24"/>
                <w:lang/>
              </w:rPr>
              <w:t>28</w:t>
            </w:r>
            <w:r>
              <w:rPr>
                <w:rFonts w:eastAsia="方正仿宋_GBK"/>
                <w:color w:val="000000"/>
                <w:kern w:val="0"/>
                <w:sz w:val="24"/>
                <w:lang/>
              </w:rPr>
              <w:t>日报送，遇到节假日日提前报送）向领导小组办公室报送活动进展情况，重要招商信息随时上报，领导小组办公室要利用微信公众号开辟攻坚行动专栏，及时宣传报报道攻坚行动进展情况。</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1278"/>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25</w:t>
            </w:r>
          </w:p>
        </w:tc>
        <w:tc>
          <w:tcPr>
            <w:tcW w:w="7880"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市政府也将此次活动纳入全市绩效考核，进行严格考评，以严格的考评促进各项活动任务的全面落实。</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1306"/>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26</w:t>
            </w:r>
          </w:p>
        </w:tc>
        <w:tc>
          <w:tcPr>
            <w:tcW w:w="7880"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落实重大招商项目包保制度，对亿元以上重点产业和重大招商项目，采取定项目、定领导、定责任、定时限</w:t>
            </w:r>
            <w:r>
              <w:rPr>
                <w:rFonts w:eastAsia="方正仿宋_GBK"/>
                <w:color w:val="000000"/>
                <w:kern w:val="0"/>
                <w:sz w:val="24"/>
                <w:lang/>
              </w:rPr>
              <w:t>“</w:t>
            </w:r>
            <w:r>
              <w:rPr>
                <w:rFonts w:eastAsia="方正仿宋_GBK"/>
                <w:color w:val="000000"/>
                <w:kern w:val="0"/>
                <w:sz w:val="24"/>
                <w:lang/>
              </w:rPr>
              <w:t>四定</w:t>
            </w:r>
            <w:r>
              <w:rPr>
                <w:rFonts w:eastAsia="方正仿宋_GBK"/>
                <w:color w:val="000000"/>
                <w:kern w:val="0"/>
                <w:sz w:val="24"/>
                <w:lang/>
              </w:rPr>
              <w:t>”</w:t>
            </w:r>
            <w:r>
              <w:rPr>
                <w:rFonts w:eastAsia="方正仿宋_GBK"/>
                <w:color w:val="000000"/>
                <w:kern w:val="0"/>
                <w:sz w:val="24"/>
                <w:lang/>
              </w:rPr>
              <w:t>包保方式，推动项目履约率、资金到位率稳步提升。</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1251"/>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27</w:t>
            </w:r>
          </w:p>
        </w:tc>
        <w:tc>
          <w:tcPr>
            <w:tcW w:w="7880"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建立招商引资联席会议制度，充分发挥市招商引资工作领导小组作用，落实招商引资工作联席会议制度，对重大招商项目实施持续跟踪、挂图作战、销号管理，进一步形成项目招商有效联动。</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r w:rsidR="007A117F" w:rsidTr="00D2155C">
        <w:trPr>
          <w:trHeight w:hRule="exact" w:val="1502"/>
          <w:jc w:val="center"/>
        </w:trPr>
        <w:tc>
          <w:tcPr>
            <w:tcW w:w="567" w:type="dxa"/>
            <w:vMerge/>
            <w:vAlign w:val="center"/>
          </w:tcPr>
          <w:p w:rsidR="007A117F" w:rsidRDefault="007A117F" w:rsidP="00D2155C">
            <w:pPr>
              <w:widowControl/>
              <w:jc w:val="center"/>
              <w:textAlignment w:val="center"/>
              <w:rPr>
                <w:rFonts w:ascii="方正黑体_GBK" w:eastAsia="方正黑体_GBK" w:hAnsi="方正黑体_GBK" w:cs="方正黑体_GBK" w:hint="eastAsia"/>
                <w:color w:val="000000"/>
                <w:spacing w:val="-34"/>
                <w:kern w:val="0"/>
                <w:sz w:val="24"/>
                <w:lang/>
              </w:rPr>
            </w:pPr>
          </w:p>
        </w:tc>
        <w:tc>
          <w:tcPr>
            <w:tcW w:w="567" w:type="dxa"/>
            <w:vAlign w:val="center"/>
          </w:tcPr>
          <w:p w:rsidR="007A117F" w:rsidRDefault="007A117F" w:rsidP="00D2155C">
            <w:pPr>
              <w:widowControl/>
              <w:jc w:val="center"/>
              <w:textAlignment w:val="center"/>
              <w:rPr>
                <w:rFonts w:eastAsia="方正仿宋_GBK"/>
                <w:color w:val="000000"/>
                <w:kern w:val="0"/>
                <w:sz w:val="24"/>
                <w:lang/>
              </w:rPr>
            </w:pPr>
            <w:r>
              <w:rPr>
                <w:rFonts w:eastAsia="方正仿宋_GBK"/>
                <w:color w:val="000000"/>
                <w:kern w:val="0"/>
                <w:sz w:val="24"/>
                <w:lang/>
              </w:rPr>
              <w:t>28</w:t>
            </w:r>
          </w:p>
        </w:tc>
        <w:tc>
          <w:tcPr>
            <w:tcW w:w="7880" w:type="dxa"/>
            <w:vAlign w:val="center"/>
          </w:tcPr>
          <w:p w:rsidR="007A117F" w:rsidRDefault="007A117F" w:rsidP="00D2155C">
            <w:pPr>
              <w:widowControl/>
              <w:jc w:val="left"/>
              <w:textAlignment w:val="center"/>
              <w:rPr>
                <w:rFonts w:eastAsia="方正仿宋_GBK"/>
                <w:color w:val="000000"/>
                <w:kern w:val="0"/>
                <w:sz w:val="24"/>
                <w:lang/>
              </w:rPr>
            </w:pPr>
            <w:r>
              <w:rPr>
                <w:rFonts w:eastAsia="方正仿宋_GBK"/>
                <w:color w:val="000000"/>
                <w:kern w:val="0"/>
                <w:sz w:val="24"/>
                <w:lang/>
              </w:rPr>
              <w:t>建立县处级以上干部全员招商机制，通过多级领导的示范带动和深入发动，努力形成全市上下共抓招商、各行各业全力招商、方方面面服务招商的大招商格局。</w:t>
            </w:r>
          </w:p>
        </w:tc>
        <w:tc>
          <w:tcPr>
            <w:tcW w:w="1304" w:type="dxa"/>
            <w:vAlign w:val="center"/>
          </w:tcPr>
          <w:p w:rsidR="007A117F" w:rsidRDefault="007A117F" w:rsidP="00D2155C">
            <w:pPr>
              <w:widowControl/>
              <w:jc w:val="center"/>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市商务局</w:t>
            </w:r>
          </w:p>
        </w:tc>
        <w:tc>
          <w:tcPr>
            <w:tcW w:w="2324" w:type="dxa"/>
            <w:vAlign w:val="center"/>
          </w:tcPr>
          <w:p w:rsidR="007A117F" w:rsidRDefault="007A117F" w:rsidP="00D2155C">
            <w:pPr>
              <w:widowControl/>
              <w:jc w:val="left"/>
              <w:textAlignment w:val="center"/>
              <w:rPr>
                <w:rFonts w:ascii="方正仿宋_GBK" w:eastAsia="方正仿宋_GBK" w:hAnsi="方正仿宋_GBK" w:cs="方正仿宋_GBK" w:hint="eastAsia"/>
                <w:color w:val="000000"/>
                <w:kern w:val="0"/>
                <w:sz w:val="24"/>
                <w:lang/>
              </w:rPr>
            </w:pPr>
            <w:r>
              <w:rPr>
                <w:rFonts w:ascii="方正仿宋_GBK" w:eastAsia="方正仿宋_GBK" w:hAnsi="方正仿宋_GBK" w:cs="方正仿宋_GBK" w:hint="eastAsia"/>
                <w:color w:val="000000"/>
                <w:kern w:val="0"/>
                <w:sz w:val="24"/>
                <w:lang/>
              </w:rPr>
              <w:t>各县（市、区）政府、开发区（园区）管委会</w:t>
            </w:r>
          </w:p>
        </w:tc>
      </w:tr>
    </w:tbl>
    <w:p w:rsidR="007A117F" w:rsidRDefault="007A117F" w:rsidP="007A117F">
      <w:pPr>
        <w:spacing w:line="578" w:lineRule="exact"/>
        <w:ind w:firstLineChars="200" w:firstLine="640"/>
        <w:rPr>
          <w:rFonts w:eastAsia="方正仿宋_GBK"/>
          <w:sz w:val="32"/>
          <w:szCs w:val="32"/>
        </w:rPr>
        <w:sectPr w:rsidR="007A117F">
          <w:pgSz w:w="16840" w:h="11907" w:orient="landscape"/>
          <w:pgMar w:top="1531" w:right="2041" w:bottom="1531" w:left="2041" w:header="720" w:footer="1276" w:gutter="0"/>
          <w:pgNumType w:fmt="numberInDash"/>
          <w:cols w:space="720"/>
          <w:docGrid w:linePitch="286"/>
        </w:sectPr>
      </w:pPr>
    </w:p>
    <w:p w:rsidR="00262FD7" w:rsidRDefault="00262FD7"/>
    <w:sectPr w:rsidR="00262FD7" w:rsidSect="007A117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117F"/>
    <w:rsid w:val="00262FD7"/>
    <w:rsid w:val="007A117F"/>
    <w:rsid w:val="00D83F27"/>
    <w:rsid w:val="00EB3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2019-12-05T00:32:00Z</dcterms:created>
  <dcterms:modified xsi:type="dcterms:W3CDTF">2019-12-05T01:24:00Z</dcterms:modified>
</cp:coreProperties>
</file>