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AF" w:rsidRDefault="00B608AF" w:rsidP="00B608AF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B608AF" w:rsidRDefault="00B608AF" w:rsidP="00B608AF">
      <w:pPr>
        <w:spacing w:line="578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608AF" w:rsidRDefault="00B608AF" w:rsidP="00B608AF">
      <w:pPr>
        <w:spacing w:line="578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单位入库入统标准</w:t>
      </w:r>
    </w:p>
    <w:p w:rsidR="00B608AF" w:rsidRDefault="00B608AF" w:rsidP="00B608AF">
      <w:pPr>
        <w:spacing w:line="578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608AF" w:rsidRDefault="00B608AF" w:rsidP="00B608AF">
      <w:pPr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一、规模以上工业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年主营业务收入</w:t>
      </w:r>
      <w:r>
        <w:rPr>
          <w:rFonts w:ascii="Times New Roman" w:eastAsia="方正仿宋_GBK" w:hAnsi="Times New Roman" w:cs="Times New Roman"/>
          <w:sz w:val="32"/>
          <w:szCs w:val="32"/>
        </w:rPr>
        <w:t>2000</w:t>
      </w:r>
      <w:r>
        <w:rPr>
          <w:rFonts w:ascii="Times New Roman" w:eastAsia="方正仿宋_GBK" w:hAnsi="Times New Roman" w:cs="Times New Roman"/>
          <w:sz w:val="32"/>
          <w:szCs w:val="32"/>
        </w:rPr>
        <w:t>万元及以上的工业法人单位。</w:t>
      </w:r>
    </w:p>
    <w:p w:rsidR="00B608AF" w:rsidRDefault="00B608AF" w:rsidP="00B608AF">
      <w:pPr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二、有资质的建筑业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有总承包和专业承包资质的建筑业法人单位。</w:t>
      </w:r>
    </w:p>
    <w:p w:rsidR="00B608AF" w:rsidRDefault="00B608AF" w:rsidP="00B608AF">
      <w:pPr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三、限额以上批发和零售业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批发业：年主营业务收入</w:t>
      </w:r>
      <w:r>
        <w:rPr>
          <w:rFonts w:ascii="Times New Roman" w:eastAsia="方正仿宋_GBK" w:hAnsi="Times New Roman" w:cs="Times New Roman"/>
          <w:sz w:val="32"/>
          <w:szCs w:val="32"/>
        </w:rPr>
        <w:t>2000</w:t>
      </w:r>
      <w:r>
        <w:rPr>
          <w:rFonts w:ascii="Times New Roman" w:eastAsia="方正仿宋_GBK" w:hAnsi="Times New Roman" w:cs="Times New Roman"/>
          <w:sz w:val="32"/>
          <w:szCs w:val="32"/>
        </w:rPr>
        <w:t>万元及以上的法人单位。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零售业：年主营业务收入</w:t>
      </w:r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万元及以上的法人单位。</w:t>
      </w:r>
    </w:p>
    <w:p w:rsidR="00B608AF" w:rsidRDefault="00B608AF" w:rsidP="00B608AF">
      <w:pPr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四、限额以上住宿和餐饮业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年主营业务收入</w:t>
      </w: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万元及以上的住宿和餐饮业法人单位。</w:t>
      </w:r>
    </w:p>
    <w:p w:rsidR="00B608AF" w:rsidRDefault="00B608AF" w:rsidP="00B608AF">
      <w:pPr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五、房地产开发经营业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有开发经营活动的全部房地产开发经营业法人单位。</w:t>
      </w:r>
    </w:p>
    <w:p w:rsidR="00B608AF" w:rsidRDefault="00B608AF" w:rsidP="00B608AF">
      <w:pPr>
        <w:spacing w:line="578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六、规模以上服务业</w:t>
      </w:r>
    </w:p>
    <w:p w:rsidR="00B608AF" w:rsidRDefault="00B608AF" w:rsidP="00B608AF">
      <w:pPr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（一）年营业收入2000万元及以上服务业法人单位。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包括：交通运输、仓储和邮政业，信息传输、软件和信息技术服务业，水利、环境和公共设施管理业，卫生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608AF" w:rsidRDefault="00B608AF" w:rsidP="00B608AF">
      <w:pPr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（二）年营业收入1000万元及以上服务业法人单位。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包括：租赁和商务服务业，科学研究和技术服务业，教育，以及物业管理、房地产中介服务、房地产租赁经营和其他房地产业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608AF" w:rsidRDefault="00B608AF" w:rsidP="00B608AF">
      <w:pPr>
        <w:spacing w:line="578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lastRenderedPageBreak/>
        <w:t>（三）年营业收入500万元及以上服务业法人单位。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包括：居民服务、修理和其他服务业，文化、体育和娱乐业，社会工作。</w:t>
      </w:r>
    </w:p>
    <w:p w:rsidR="00B608AF" w:rsidRDefault="00B608AF" w:rsidP="00B608AF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按规定，服务业入库单位必须是企业或是执行企业会计制度准则的事业单位、民办非企业单位、农民专业合作社、农村集体经济组织、律师事务所等单位。</w:t>
      </w:r>
    </w:p>
    <w:p w:rsidR="009E1B3F" w:rsidRDefault="009E1B3F"/>
    <w:sectPr w:rsidR="009E1B3F" w:rsidSect="009E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8AF"/>
    <w:rsid w:val="009E1B3F"/>
    <w:rsid w:val="00B6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0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B608AF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60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2021-09-02T07:08:00Z</dcterms:created>
  <dcterms:modified xsi:type="dcterms:W3CDTF">2021-09-02T07:08:00Z</dcterms:modified>
</cp:coreProperties>
</file>