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val="0"/>
        <w:pageBreakBefore w:val="0"/>
        <w:widowControl w:val="0"/>
        <w:kinsoku/>
        <w:wordWrap/>
        <w:overflowPunct/>
        <w:topLinePunct w:val="0"/>
        <w:autoSpaceDE/>
        <w:autoSpaceDN/>
        <w:bidi w:val="0"/>
        <w:adjustRightInd/>
        <w:snapToGrid/>
        <w:spacing w:line="578" w:lineRule="exact"/>
        <w:textAlignment w:val="auto"/>
        <w:rPr>
          <w:rFonts w:hint="default" w:ascii="FreeSerif" w:hAnsi="FreeSerif" w:cs="FreeSerif"/>
          <w:lang w:val="en-US" w:eastAsia="zh-CN"/>
        </w:rPr>
      </w:pPr>
      <w:r>
        <w:rPr>
          <w:rFonts w:hint="default" w:ascii="FreeSerif" w:hAnsi="FreeSerif" w:cs="FreeSerif"/>
          <w:lang w:val="en-US" w:eastAsia="zh-CN"/>
        </w:rPr>
        <w:t xml:space="preserve">           </w:t>
      </w:r>
    </w:p>
    <w:p>
      <w:pPr>
        <w:keepNext/>
        <w:keepLines w:val="0"/>
        <w:pageBreakBefore w:val="0"/>
        <w:widowControl w:val="0"/>
        <w:kinsoku/>
        <w:wordWrap/>
        <w:overflowPunct/>
        <w:topLinePunct w:val="0"/>
        <w:autoSpaceDE/>
        <w:autoSpaceDN/>
        <w:bidi w:val="0"/>
        <w:adjustRightInd/>
        <w:snapToGrid/>
        <w:spacing w:line="578" w:lineRule="exact"/>
        <w:textAlignment w:val="auto"/>
        <w:rPr>
          <w:rFonts w:hint="default" w:ascii="FreeSerif" w:hAnsi="FreeSerif" w:cs="FreeSerif"/>
        </w:rPr>
      </w:pPr>
      <w:r>
        <w:rPr>
          <w:rFonts w:hint="default" w:ascii="FreeSerif" w:hAnsi="FreeSerif" w:cs="FreeSerif"/>
          <w:lang w:val="en-US" w:eastAsia="zh-CN"/>
        </w:rPr>
        <w:t xml:space="preserve">                                                                                                                                                                                                                                                                                                                                                                                                                                                                                                                                                                                                                                                                                                                                                                                                                                                                                                                 </w:t>
      </w:r>
    </w:p>
    <w:p>
      <w:pPr>
        <w:jc w:val="both"/>
        <w:rPr>
          <w:rFonts w:hint="default" w:ascii="FreeSerif" w:hAnsi="FreeSerif" w:eastAsia="隶书" w:cs="FreeSerif"/>
          <w:sz w:val="55"/>
        </w:rPr>
      </w:pPr>
    </w:p>
    <w:p>
      <w:pPr>
        <w:jc w:val="center"/>
        <w:rPr>
          <w:rFonts w:hint="default" w:ascii="FreeSerif" w:hAnsi="FreeSerif" w:eastAsia="隶书" w:cs="FreeSerif"/>
          <w:sz w:val="44"/>
          <w:szCs w:val="44"/>
        </w:rPr>
      </w:pPr>
      <w:r>
        <w:rPr>
          <w:rFonts w:hint="default" w:ascii="FreeSerif" w:hAnsi="FreeSerif" w:eastAsia="方正小标宋_GBK" w:cs="FreeSerif"/>
          <w:sz w:val="44"/>
          <w:szCs w:val="44"/>
        </w:rPr>
        <w:t>白城市危险货物道路运输发展规划</w:t>
      </w:r>
    </w:p>
    <w:p>
      <w:pPr>
        <w:jc w:val="both"/>
        <w:rPr>
          <w:rFonts w:hint="default" w:ascii="FreeSerif" w:hAnsi="FreeSerif" w:eastAsia="隶书" w:cs="FreeSerif"/>
          <w:sz w:val="51"/>
        </w:rPr>
      </w:pPr>
    </w:p>
    <w:p>
      <w:pPr>
        <w:jc w:val="both"/>
        <w:rPr>
          <w:rFonts w:hint="default" w:ascii="FreeSerif" w:hAnsi="FreeSerif" w:eastAsia="隶书" w:cs="FreeSerif"/>
          <w:sz w:val="51"/>
        </w:rPr>
      </w:pPr>
    </w:p>
    <w:p>
      <w:pPr>
        <w:jc w:val="both"/>
        <w:rPr>
          <w:rFonts w:hint="default" w:ascii="FreeSerif" w:hAnsi="FreeSerif" w:eastAsia="隶书" w:cs="FreeSerif"/>
          <w:sz w:val="51"/>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jc w:val="both"/>
        <w:rPr>
          <w:rFonts w:hint="default" w:ascii="FreeSerif" w:hAnsi="FreeSerif" w:eastAsia="华文楷体" w:cs="FreeSerif"/>
          <w:sz w:val="29"/>
        </w:rPr>
      </w:pPr>
    </w:p>
    <w:p>
      <w:pPr>
        <w:spacing w:before="0" w:beforeLines="0" w:after="0" w:afterLines="0" w:line="240" w:lineRule="auto"/>
        <w:ind w:left="0" w:leftChars="0" w:right="0" w:rightChars="0" w:firstLine="0" w:firstLineChars="0"/>
        <w:jc w:val="center"/>
        <w:rPr>
          <w:rFonts w:hint="default" w:ascii="FreeSerif" w:hAnsi="FreeSerif" w:eastAsia="方正小标宋_GBK" w:cs="FreeSerif"/>
          <w:sz w:val="36"/>
          <w:szCs w:val="36"/>
          <w:lang w:val="en"/>
        </w:rPr>
      </w:pPr>
      <w:r>
        <w:rPr>
          <w:rFonts w:hint="default" w:ascii="FreeSerif" w:hAnsi="FreeSerif" w:eastAsia="方正小标宋_GBK" w:cs="FreeSerif"/>
          <w:sz w:val="36"/>
          <w:szCs w:val="36"/>
          <w:lang w:val="en"/>
        </w:rPr>
        <w:t>2023.04</w:t>
      </w:r>
      <w:bookmarkStart w:id="0" w:name="_Toc71998592"/>
    </w:p>
    <w:p>
      <w:pPr>
        <w:pStyle w:val="2"/>
        <w:sectPr>
          <w:footerReference r:id="rId3" w:type="default"/>
          <w:pgSz w:w="11906" w:h="16838"/>
          <w:pgMar w:top="2041" w:right="1531" w:bottom="2041" w:left="1531" w:header="851" w:footer="1672" w:gutter="0"/>
          <w:pgNumType w:fmt="decimal" w:start="1"/>
          <w:cols w:space="0" w:num="1"/>
          <w:rtlGutter w:val="0"/>
          <w:docGrid w:type="lines" w:linePitch="312" w:charSpace="0"/>
        </w:sectPr>
      </w:pPr>
    </w:p>
    <w:p>
      <w:pPr>
        <w:pStyle w:val="2"/>
      </w:pPr>
    </w:p>
    <w:sdt>
      <w:sdtPr>
        <w:rPr>
          <w:rFonts w:hint="default" w:ascii="FreeSerif" w:hAnsi="FreeSerif" w:cs="FreeSerif" w:eastAsiaTheme="minorEastAsia"/>
          <w:color w:val="auto"/>
          <w:kern w:val="2"/>
          <w:sz w:val="21"/>
          <w:szCs w:val="22"/>
          <w:lang w:val="zh-CN"/>
        </w:rPr>
        <w:id w:val="-1"/>
        <w:docPartObj>
          <w:docPartGallery w:val="Table of Contents"/>
          <w:docPartUnique/>
        </w:docPartObj>
      </w:sdtPr>
      <w:sdtEndPr>
        <w:rPr>
          <w:rFonts w:hint="default" w:ascii="FreeSerif" w:hAnsi="FreeSerif" w:eastAsia="仿宋" w:cs="FreeSerif"/>
          <w:b/>
          <w:bCs/>
          <w:color w:val="auto"/>
          <w:kern w:val="2"/>
          <w:sz w:val="28"/>
          <w:szCs w:val="28"/>
          <w:lang w:val="zh-CN"/>
        </w:rPr>
      </w:sdtEndPr>
      <w:sdtContent>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w:t>
          </w:r>
          <w:r>
            <w:rPr>
              <w:rFonts w:hint="eastAsia" w:ascii="方正小标宋_GBK" w:hAnsi="方正小标宋_GBK" w:eastAsia="方正小标宋_GBK" w:cs="方正小标宋_GBK"/>
              <w:sz w:val="44"/>
              <w:szCs w:val="44"/>
              <w:lang w:eastAsia="zh-CN"/>
            </w:rPr>
            <w:t>　</w:t>
          </w:r>
          <w:r>
            <w:rPr>
              <w:rFonts w:hint="eastAsia" w:ascii="方正小标宋_GBK" w:hAnsi="方正小标宋_GBK" w:eastAsia="方正小标宋_GBK" w:cs="方正小标宋_GBK"/>
              <w:sz w:val="44"/>
              <w:szCs w:val="44"/>
            </w:rPr>
            <w:t>录</w:t>
          </w:r>
        </w:p>
        <w:p>
          <w:pPr>
            <w:pStyle w:val="12"/>
            <w:keepNext w:val="0"/>
            <w:keepLines w:val="0"/>
            <w:pageBreakBefore w:val="0"/>
            <w:widowControl w:val="0"/>
            <w:tabs>
              <w:tab w:val="right" w:leader="dot" w:pos="8844"/>
              <w:tab w:val="clear" w:pos="1050"/>
              <w:tab w:val="clear" w:pos="8296"/>
            </w:tabs>
            <w:kinsoku/>
            <w:wordWrap/>
            <w:overflowPunct w:val="0"/>
            <w:topLinePunct w:val="0"/>
            <w:autoSpaceDE/>
            <w:autoSpaceDN/>
            <w:bidi w:val="0"/>
            <w:adjustRightInd/>
            <w:snapToGrid/>
            <w:spacing w:after="0" w:line="500" w:lineRule="exact"/>
            <w:jc w:val="both"/>
            <w:textAlignment w:val="auto"/>
            <w:rPr>
              <w:rFonts w:hint="default" w:ascii="FreeSerif" w:hAnsi="FreeSerif" w:cs="FreeSerif"/>
              <w:b w:val="0"/>
              <w:bCs/>
            </w:rPr>
          </w:pPr>
          <w:r>
            <w:rPr>
              <w:rFonts w:hint="default" w:ascii="FreeSerif" w:hAnsi="FreeSerif" w:eastAsia="方正仿宋_GBK" w:cs="FreeSerif"/>
              <w:b w:val="0"/>
              <w:bCs w:val="0"/>
              <w:sz w:val="21"/>
              <w:szCs w:val="21"/>
            </w:rPr>
            <w:fldChar w:fldCharType="begin"/>
          </w:r>
          <w:r>
            <w:rPr>
              <w:rFonts w:hint="default" w:ascii="FreeSerif" w:hAnsi="FreeSerif" w:eastAsia="方正仿宋_GBK" w:cs="FreeSerif"/>
              <w:b w:val="0"/>
              <w:bCs w:val="0"/>
              <w:sz w:val="21"/>
              <w:szCs w:val="21"/>
            </w:rPr>
            <w:instrText xml:space="preserve"> TOC \o "1-3" \h \z \u </w:instrText>
          </w:r>
          <w:r>
            <w:rPr>
              <w:rFonts w:hint="default" w:ascii="FreeSerif" w:hAnsi="FreeSerif" w:eastAsia="方正仿宋_GBK" w:cs="FreeSerif"/>
              <w:b w:val="0"/>
              <w:bCs w:val="0"/>
              <w:sz w:val="21"/>
              <w:szCs w:val="21"/>
            </w:rPr>
            <w:fldChar w:fldCharType="separate"/>
          </w:r>
          <w:r>
            <w:rPr>
              <w:rFonts w:hint="default" w:ascii="FreeSerif" w:hAnsi="FreeSerif" w:eastAsia="方正仿宋_GBK" w:cs="FreeSerif"/>
              <w:b w:val="0"/>
              <w:bCs/>
              <w:szCs w:val="21"/>
            </w:rPr>
            <w:fldChar w:fldCharType="begin"/>
          </w:r>
          <w:r>
            <w:rPr>
              <w:rFonts w:hint="default" w:ascii="FreeSerif" w:hAnsi="FreeSerif" w:eastAsia="方正仿宋_GBK" w:cs="FreeSerif"/>
              <w:b w:val="0"/>
              <w:bCs/>
              <w:szCs w:val="21"/>
            </w:rPr>
            <w:instrText xml:space="preserve"> HYPERLINK \l _Toc1795408298 </w:instrText>
          </w:r>
          <w:r>
            <w:rPr>
              <w:rFonts w:hint="default" w:ascii="FreeSerif" w:hAnsi="FreeSerif" w:eastAsia="方正仿宋_GBK" w:cs="FreeSerif"/>
              <w:b w:val="0"/>
              <w:bCs/>
              <w:szCs w:val="21"/>
            </w:rPr>
            <w:fldChar w:fldCharType="separate"/>
          </w:r>
          <w:r>
            <w:rPr>
              <w:rFonts w:hint="default" w:ascii="FreeSerif" w:hAnsi="FreeSerif" w:eastAsia="方正黑体_GBK" w:cs="FreeSerif"/>
              <w:b w:val="0"/>
              <w:bCs/>
              <w:szCs w:val="32"/>
            </w:rPr>
            <w:t>第</w:t>
          </w:r>
          <w:r>
            <w:rPr>
              <w:rFonts w:hint="default" w:ascii="FreeSerif" w:hAnsi="FreeSerif" w:eastAsia="方正黑体_GBK" w:cs="FreeSerif"/>
              <w:b w:val="0"/>
              <w:bCs/>
              <w:szCs w:val="32"/>
              <w:lang w:eastAsia="zh-CN"/>
            </w:rPr>
            <w:t>一</w:t>
          </w:r>
          <w:r>
            <w:rPr>
              <w:rFonts w:hint="default" w:ascii="FreeSerif" w:hAnsi="FreeSerif" w:eastAsia="方正黑体_GBK" w:cs="FreeSerif"/>
              <w:b w:val="0"/>
              <w:bCs/>
              <w:szCs w:val="32"/>
            </w:rPr>
            <w:t xml:space="preserve">章 </w:t>
          </w:r>
          <w:r>
            <w:rPr>
              <w:rFonts w:hint="default" w:ascii="FreeSerif" w:hAnsi="FreeSerif" w:eastAsia="方正黑体_GBK" w:cs="FreeSerif"/>
              <w:b w:val="0"/>
              <w:bCs/>
              <w:szCs w:val="32"/>
              <w:lang w:eastAsia="zh-CN"/>
            </w:rPr>
            <w:t>　</w:t>
          </w:r>
          <w:r>
            <w:rPr>
              <w:rFonts w:hint="default" w:ascii="FreeSerif" w:hAnsi="FreeSerif" w:eastAsia="方正黑体_GBK" w:cs="FreeSerif"/>
              <w:b w:val="0"/>
              <w:bCs/>
              <w:szCs w:val="32"/>
            </w:rPr>
            <w:t>概 述</w:t>
          </w:r>
          <w:r>
            <w:rPr>
              <w:rFonts w:hint="default" w:ascii="FreeSerif" w:hAnsi="FreeSerif" w:cs="FreeSerif"/>
              <w:b w:val="0"/>
              <w:bCs/>
            </w:rPr>
            <w:tab/>
          </w:r>
          <w:r>
            <w:rPr>
              <w:rFonts w:hint="default" w:ascii="FreeSerif" w:hAnsi="FreeSerif" w:cs="FreeSerif"/>
              <w:b w:val="0"/>
              <w:bCs/>
              <w:sz w:val="28"/>
              <w:szCs w:val="24"/>
            </w:rPr>
            <w:fldChar w:fldCharType="begin"/>
          </w:r>
          <w:r>
            <w:rPr>
              <w:rFonts w:hint="default" w:ascii="FreeSerif" w:hAnsi="FreeSerif" w:cs="FreeSerif"/>
              <w:b w:val="0"/>
              <w:bCs/>
              <w:sz w:val="28"/>
              <w:szCs w:val="24"/>
            </w:rPr>
            <w:instrText xml:space="preserve"> PAGEREF _Toc1795408298 </w:instrText>
          </w:r>
          <w:r>
            <w:rPr>
              <w:rFonts w:hint="default" w:ascii="FreeSerif" w:hAnsi="FreeSerif" w:cs="FreeSerif"/>
              <w:b w:val="0"/>
              <w:bCs/>
              <w:sz w:val="28"/>
              <w:szCs w:val="24"/>
            </w:rPr>
            <w:fldChar w:fldCharType="separate"/>
          </w:r>
          <w:r>
            <w:rPr>
              <w:rFonts w:hint="default" w:ascii="FreeSerif" w:hAnsi="FreeSerif" w:cs="FreeSerif"/>
              <w:b w:val="0"/>
              <w:bCs/>
              <w:sz w:val="28"/>
              <w:szCs w:val="24"/>
            </w:rPr>
            <w:t>3</w:t>
          </w:r>
          <w:r>
            <w:rPr>
              <w:rFonts w:hint="default" w:ascii="FreeSerif" w:hAnsi="FreeSerif" w:cs="FreeSerif"/>
              <w:b w:val="0"/>
              <w:bCs/>
              <w:sz w:val="28"/>
              <w:szCs w:val="24"/>
            </w:rPr>
            <w:fldChar w:fldCharType="end"/>
          </w:r>
          <w:r>
            <w:rPr>
              <w:rFonts w:hint="default" w:ascii="FreeSerif" w:hAnsi="FreeSerif" w:eastAsia="方正仿宋_GBK" w:cs="FreeSerif"/>
              <w:b w:val="0"/>
              <w:bCs/>
              <w:szCs w:val="21"/>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_Toc555643377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1.1规划背景</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_Toc555643377 </w:instrText>
          </w:r>
          <w:r>
            <w:rPr>
              <w:rFonts w:hint="default" w:ascii="FreeSerif" w:hAnsi="FreeSerif" w:cs="FreeSerif"/>
              <w:b w:val="0"/>
              <w:bCs/>
            </w:rPr>
            <w:fldChar w:fldCharType="separate"/>
          </w:r>
          <w:r>
            <w:rPr>
              <w:rFonts w:hint="default" w:ascii="FreeSerif" w:hAnsi="FreeSerif" w:cs="FreeSerif"/>
              <w:b w:val="0"/>
              <w:bCs/>
            </w:rPr>
            <w:t>3</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_Toc1152379490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1.2规划依据</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_Toc1152379490 </w:instrText>
          </w:r>
          <w:r>
            <w:rPr>
              <w:rFonts w:hint="default" w:ascii="FreeSerif" w:hAnsi="FreeSerif" w:cs="FreeSerif"/>
              <w:b w:val="0"/>
              <w:bCs/>
            </w:rPr>
            <w:fldChar w:fldCharType="separate"/>
          </w:r>
          <w:r>
            <w:rPr>
              <w:rFonts w:hint="default" w:ascii="FreeSerif" w:hAnsi="FreeSerif" w:cs="FreeSerif"/>
              <w:b w:val="0"/>
              <w:bCs/>
            </w:rPr>
            <w:t>3</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_Toc241763360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1.3规划范围与年限</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_Toc241763360 </w:instrText>
          </w:r>
          <w:r>
            <w:rPr>
              <w:rFonts w:hint="default" w:ascii="FreeSerif" w:hAnsi="FreeSerif" w:cs="FreeSerif"/>
              <w:b w:val="0"/>
              <w:bCs/>
            </w:rPr>
            <w:fldChar w:fldCharType="separate"/>
          </w:r>
          <w:r>
            <w:rPr>
              <w:rFonts w:hint="default" w:ascii="FreeSerif" w:hAnsi="FreeSerif" w:cs="FreeSerif"/>
              <w:b w:val="0"/>
              <w:bCs/>
            </w:rPr>
            <w:t>5</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_Toc1211787122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1.4指导思想与总体目标</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_Toc1211787122 </w:instrText>
          </w:r>
          <w:r>
            <w:rPr>
              <w:rFonts w:hint="default" w:ascii="FreeSerif" w:hAnsi="FreeSerif" w:cs="FreeSerif"/>
              <w:b w:val="0"/>
              <w:bCs/>
            </w:rPr>
            <w:fldChar w:fldCharType="separate"/>
          </w:r>
          <w:r>
            <w:rPr>
              <w:rFonts w:hint="default" w:ascii="FreeSerif" w:hAnsi="FreeSerif" w:cs="FreeSerif"/>
              <w:b w:val="0"/>
              <w:bCs/>
            </w:rPr>
            <w:t>6</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2"/>
            <w:keepNext w:val="0"/>
            <w:keepLines w:val="0"/>
            <w:pageBreakBefore w:val="0"/>
            <w:widowControl w:val="0"/>
            <w:tabs>
              <w:tab w:val="right" w:leader="dot" w:pos="8844"/>
              <w:tab w:val="clear" w:pos="1050"/>
              <w:tab w:val="clear" w:pos="8296"/>
            </w:tabs>
            <w:kinsoku/>
            <w:wordWrap/>
            <w:overflowPunct w:val="0"/>
            <w:topLinePunct w:val="0"/>
            <w:autoSpaceDE/>
            <w:autoSpaceDN/>
            <w:bidi w:val="0"/>
            <w:adjustRightInd/>
            <w:snapToGrid/>
            <w:spacing w:after="0" w:line="500" w:lineRule="exact"/>
            <w:jc w:val="both"/>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_Toc267253746 </w:instrText>
          </w:r>
          <w:r>
            <w:rPr>
              <w:rFonts w:hint="default" w:ascii="FreeSerif" w:hAnsi="FreeSerif" w:eastAsia="方正仿宋_GBK" w:cs="FreeSerif"/>
              <w:b w:val="0"/>
              <w:bCs/>
              <w:szCs w:val="21"/>
              <w:lang w:val="zh-CN"/>
            </w:rPr>
            <w:fldChar w:fldCharType="separate"/>
          </w:r>
          <w:r>
            <w:rPr>
              <w:rFonts w:hint="default" w:ascii="FreeSerif" w:hAnsi="FreeSerif" w:eastAsia="方正黑体_GBK" w:cs="FreeSerif"/>
              <w:b w:val="0"/>
              <w:bCs/>
              <w:szCs w:val="32"/>
            </w:rPr>
            <w:t>第</w:t>
          </w:r>
          <w:r>
            <w:rPr>
              <w:rFonts w:hint="default" w:ascii="FreeSerif" w:hAnsi="FreeSerif" w:eastAsia="方正黑体_GBK" w:cs="FreeSerif"/>
              <w:b w:val="0"/>
              <w:bCs/>
              <w:szCs w:val="32"/>
              <w:lang w:eastAsia="zh-CN"/>
            </w:rPr>
            <w:t>二</w:t>
          </w:r>
          <w:r>
            <w:rPr>
              <w:rFonts w:hint="default" w:ascii="FreeSerif" w:hAnsi="FreeSerif" w:eastAsia="方正黑体_GBK" w:cs="FreeSerif"/>
              <w:b w:val="0"/>
              <w:bCs/>
              <w:szCs w:val="32"/>
            </w:rPr>
            <w:t>章 白城市社会经济和危险货物道路运输企业现状分析</w:t>
          </w:r>
          <w:r>
            <w:rPr>
              <w:rFonts w:hint="default" w:ascii="FreeSerif" w:hAnsi="FreeSerif" w:cs="FreeSerif"/>
              <w:b w:val="0"/>
              <w:bCs/>
            </w:rPr>
            <w:tab/>
          </w:r>
          <w:r>
            <w:rPr>
              <w:rFonts w:hint="default" w:ascii="FreeSerif" w:hAnsi="FreeSerif" w:cs="FreeSerif"/>
              <w:b w:val="0"/>
              <w:bCs/>
              <w:sz w:val="28"/>
              <w:szCs w:val="24"/>
            </w:rPr>
            <w:fldChar w:fldCharType="begin"/>
          </w:r>
          <w:r>
            <w:rPr>
              <w:rFonts w:hint="default" w:ascii="FreeSerif" w:hAnsi="FreeSerif" w:cs="FreeSerif"/>
              <w:b w:val="0"/>
              <w:bCs/>
              <w:sz w:val="28"/>
              <w:szCs w:val="24"/>
            </w:rPr>
            <w:instrText xml:space="preserve"> PAGEREF _Toc267253746 </w:instrText>
          </w:r>
          <w:r>
            <w:rPr>
              <w:rFonts w:hint="default" w:ascii="FreeSerif" w:hAnsi="FreeSerif" w:cs="FreeSerif"/>
              <w:b w:val="0"/>
              <w:bCs/>
              <w:sz w:val="28"/>
              <w:szCs w:val="24"/>
            </w:rPr>
            <w:fldChar w:fldCharType="separate"/>
          </w:r>
          <w:r>
            <w:rPr>
              <w:rFonts w:hint="default" w:ascii="FreeSerif" w:hAnsi="FreeSerif" w:cs="FreeSerif"/>
              <w:b w:val="0"/>
              <w:bCs/>
              <w:sz w:val="28"/>
              <w:szCs w:val="24"/>
            </w:rPr>
            <w:t>8</w:t>
          </w:r>
          <w:r>
            <w:rPr>
              <w:rFonts w:hint="default" w:ascii="FreeSerif" w:hAnsi="FreeSerif" w:cs="FreeSerif"/>
              <w:b w:val="0"/>
              <w:bCs/>
              <w:sz w:val="28"/>
              <w:szCs w:val="24"/>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_Toc1193318807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2.1白城市概况</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_Toc1193318807 </w:instrText>
          </w:r>
          <w:r>
            <w:rPr>
              <w:rFonts w:hint="default" w:ascii="FreeSerif" w:hAnsi="FreeSerif" w:cs="FreeSerif"/>
              <w:b w:val="0"/>
              <w:bCs/>
            </w:rPr>
            <w:fldChar w:fldCharType="separate"/>
          </w:r>
          <w:r>
            <w:rPr>
              <w:rFonts w:hint="default" w:ascii="FreeSerif" w:hAnsi="FreeSerif" w:cs="FreeSerif"/>
              <w:b w:val="0"/>
              <w:bCs/>
            </w:rPr>
            <w:t>8</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_Toc785712778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2.2社会经济现状</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_Toc785712778 </w:instrText>
          </w:r>
          <w:r>
            <w:rPr>
              <w:rFonts w:hint="default" w:ascii="FreeSerif" w:hAnsi="FreeSerif" w:cs="FreeSerif"/>
              <w:b w:val="0"/>
              <w:bCs/>
            </w:rPr>
            <w:fldChar w:fldCharType="separate"/>
          </w:r>
          <w:r>
            <w:rPr>
              <w:rFonts w:hint="default" w:ascii="FreeSerif" w:hAnsi="FreeSerif" w:cs="FreeSerif"/>
              <w:b w:val="0"/>
              <w:bCs/>
            </w:rPr>
            <w:t>11</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_Toc1396268652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2.3危险货物道路运输企业统计分析</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_Toc1396268652 </w:instrText>
          </w:r>
          <w:r>
            <w:rPr>
              <w:rFonts w:hint="default" w:ascii="FreeSerif" w:hAnsi="FreeSerif" w:cs="FreeSerif"/>
              <w:b w:val="0"/>
              <w:bCs/>
            </w:rPr>
            <w:fldChar w:fldCharType="separate"/>
          </w:r>
          <w:r>
            <w:rPr>
              <w:rFonts w:hint="default" w:ascii="FreeSerif" w:hAnsi="FreeSerif" w:cs="FreeSerif"/>
              <w:b w:val="0"/>
              <w:bCs/>
            </w:rPr>
            <w:t>12</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_Toc102936755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2.4 运力规模</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_Toc102936755 </w:instrText>
          </w:r>
          <w:r>
            <w:rPr>
              <w:rFonts w:hint="default" w:ascii="FreeSerif" w:hAnsi="FreeSerif" w:cs="FreeSerif"/>
              <w:b w:val="0"/>
              <w:bCs/>
            </w:rPr>
            <w:fldChar w:fldCharType="separate"/>
          </w:r>
          <w:r>
            <w:rPr>
              <w:rFonts w:hint="default" w:ascii="FreeSerif" w:hAnsi="FreeSerif" w:cs="FreeSerif"/>
              <w:b w:val="0"/>
              <w:bCs/>
            </w:rPr>
            <w:t>18</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_Toc1584539212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2.5管理状况</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_Toc1584539212 </w:instrText>
          </w:r>
          <w:r>
            <w:rPr>
              <w:rFonts w:hint="default" w:ascii="FreeSerif" w:hAnsi="FreeSerif" w:cs="FreeSerif"/>
              <w:b w:val="0"/>
              <w:bCs/>
            </w:rPr>
            <w:fldChar w:fldCharType="separate"/>
          </w:r>
          <w:r>
            <w:rPr>
              <w:rFonts w:hint="default" w:ascii="FreeSerif" w:hAnsi="FreeSerif" w:cs="FreeSerif"/>
              <w:b w:val="0"/>
              <w:bCs/>
            </w:rPr>
            <w:t>20</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_Toc1895727418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2.6问题分析</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_Toc1895727418 </w:instrText>
          </w:r>
          <w:r>
            <w:rPr>
              <w:rFonts w:hint="default" w:ascii="FreeSerif" w:hAnsi="FreeSerif" w:cs="FreeSerif"/>
              <w:b w:val="0"/>
              <w:bCs/>
            </w:rPr>
            <w:fldChar w:fldCharType="separate"/>
          </w:r>
          <w:r>
            <w:rPr>
              <w:rFonts w:hint="default" w:ascii="FreeSerif" w:hAnsi="FreeSerif" w:cs="FreeSerif"/>
              <w:b w:val="0"/>
              <w:bCs/>
            </w:rPr>
            <w:t>22</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2"/>
            <w:keepNext w:val="0"/>
            <w:keepLines w:val="0"/>
            <w:pageBreakBefore w:val="0"/>
            <w:widowControl w:val="0"/>
            <w:tabs>
              <w:tab w:val="right" w:leader="dot" w:pos="8844"/>
              <w:tab w:val="clear" w:pos="1050"/>
              <w:tab w:val="clear" w:pos="8296"/>
            </w:tabs>
            <w:kinsoku/>
            <w:wordWrap/>
            <w:overflowPunct w:val="0"/>
            <w:topLinePunct w:val="0"/>
            <w:autoSpaceDE/>
            <w:autoSpaceDN/>
            <w:bidi w:val="0"/>
            <w:adjustRightInd/>
            <w:snapToGrid/>
            <w:spacing w:after="0" w:line="500" w:lineRule="exact"/>
            <w:jc w:val="both"/>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_Toc489390306 </w:instrText>
          </w:r>
          <w:r>
            <w:rPr>
              <w:rFonts w:hint="default" w:ascii="FreeSerif" w:hAnsi="FreeSerif" w:eastAsia="方正仿宋_GBK" w:cs="FreeSerif"/>
              <w:b w:val="0"/>
              <w:bCs/>
              <w:szCs w:val="21"/>
              <w:lang w:val="zh-CN"/>
            </w:rPr>
            <w:fldChar w:fldCharType="separate"/>
          </w:r>
          <w:r>
            <w:rPr>
              <w:rFonts w:hint="default" w:ascii="FreeSerif" w:hAnsi="FreeSerif" w:eastAsia="方正黑体_GBK" w:cs="FreeSerif"/>
              <w:b w:val="0"/>
              <w:bCs/>
              <w:szCs w:val="32"/>
            </w:rPr>
            <w:t>第</w:t>
          </w:r>
          <w:r>
            <w:rPr>
              <w:rFonts w:hint="default" w:ascii="FreeSerif" w:hAnsi="FreeSerif" w:eastAsia="方正黑体_GBK" w:cs="FreeSerif"/>
              <w:b w:val="0"/>
              <w:bCs/>
              <w:szCs w:val="32"/>
              <w:lang w:eastAsia="zh-CN"/>
            </w:rPr>
            <w:t>三</w:t>
          </w:r>
          <w:r>
            <w:rPr>
              <w:rFonts w:hint="default" w:ascii="FreeSerif" w:hAnsi="FreeSerif" w:eastAsia="方正黑体_GBK" w:cs="FreeSerif"/>
              <w:b w:val="0"/>
              <w:bCs/>
              <w:szCs w:val="32"/>
            </w:rPr>
            <w:t>章 危险货物道路运输行业供需现状分析</w:t>
          </w:r>
          <w:r>
            <w:rPr>
              <w:rFonts w:hint="default" w:ascii="FreeSerif" w:hAnsi="FreeSerif" w:cs="FreeSerif"/>
              <w:b w:val="0"/>
              <w:bCs/>
            </w:rPr>
            <w:tab/>
          </w:r>
          <w:r>
            <w:rPr>
              <w:rFonts w:hint="default" w:ascii="FreeSerif" w:hAnsi="FreeSerif" w:cs="FreeSerif"/>
              <w:b w:val="0"/>
              <w:bCs/>
              <w:sz w:val="28"/>
              <w:szCs w:val="24"/>
            </w:rPr>
            <w:fldChar w:fldCharType="begin"/>
          </w:r>
          <w:r>
            <w:rPr>
              <w:rFonts w:hint="default" w:ascii="FreeSerif" w:hAnsi="FreeSerif" w:cs="FreeSerif"/>
              <w:b w:val="0"/>
              <w:bCs/>
              <w:sz w:val="28"/>
              <w:szCs w:val="24"/>
            </w:rPr>
            <w:instrText xml:space="preserve"> PAGEREF _Toc489390306 </w:instrText>
          </w:r>
          <w:r>
            <w:rPr>
              <w:rFonts w:hint="default" w:ascii="FreeSerif" w:hAnsi="FreeSerif" w:cs="FreeSerif"/>
              <w:b w:val="0"/>
              <w:bCs/>
              <w:sz w:val="28"/>
              <w:szCs w:val="24"/>
            </w:rPr>
            <w:fldChar w:fldCharType="separate"/>
          </w:r>
          <w:r>
            <w:rPr>
              <w:rFonts w:hint="default" w:ascii="FreeSerif" w:hAnsi="FreeSerif" w:cs="FreeSerif"/>
              <w:b w:val="0"/>
              <w:bCs/>
              <w:sz w:val="28"/>
              <w:szCs w:val="24"/>
            </w:rPr>
            <w:t>24</w:t>
          </w:r>
          <w:r>
            <w:rPr>
              <w:rFonts w:hint="default" w:ascii="FreeSerif" w:hAnsi="FreeSerif" w:cs="FreeSerif"/>
              <w:b w:val="0"/>
              <w:bCs/>
              <w:sz w:val="28"/>
              <w:szCs w:val="24"/>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_Toc1861135990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3.1 危险货物道路运输企业现状分析</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_Toc1861135990 </w:instrText>
          </w:r>
          <w:r>
            <w:rPr>
              <w:rFonts w:hint="default" w:ascii="FreeSerif" w:hAnsi="FreeSerif" w:cs="FreeSerif"/>
              <w:b w:val="0"/>
              <w:bCs/>
            </w:rPr>
            <w:fldChar w:fldCharType="separate"/>
          </w:r>
          <w:r>
            <w:rPr>
              <w:rFonts w:hint="default" w:ascii="FreeSerif" w:hAnsi="FreeSerif" w:cs="FreeSerif"/>
              <w:b w:val="0"/>
              <w:bCs/>
            </w:rPr>
            <w:t>24</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_Toc484009956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3.2 危险货物道路运输企业经营状况分析</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_Toc484009956 </w:instrText>
          </w:r>
          <w:r>
            <w:rPr>
              <w:rFonts w:hint="default" w:ascii="FreeSerif" w:hAnsi="FreeSerif" w:cs="FreeSerif"/>
              <w:b w:val="0"/>
              <w:bCs/>
            </w:rPr>
            <w:fldChar w:fldCharType="separate"/>
          </w:r>
          <w:r>
            <w:rPr>
              <w:rFonts w:hint="default" w:ascii="FreeSerif" w:hAnsi="FreeSerif" w:cs="FreeSerif"/>
              <w:b w:val="0"/>
              <w:bCs/>
            </w:rPr>
            <w:t>25</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_Toc10372908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3.3 危险货物道路运输供需现状分析</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_Toc10372908 </w:instrText>
          </w:r>
          <w:r>
            <w:rPr>
              <w:rFonts w:hint="default" w:ascii="FreeSerif" w:hAnsi="FreeSerif" w:cs="FreeSerif"/>
              <w:b w:val="0"/>
              <w:bCs/>
            </w:rPr>
            <w:fldChar w:fldCharType="separate"/>
          </w:r>
          <w:r>
            <w:rPr>
              <w:rFonts w:hint="default" w:ascii="FreeSerif" w:hAnsi="FreeSerif" w:cs="FreeSerif"/>
              <w:b w:val="0"/>
              <w:bCs/>
            </w:rPr>
            <w:t>25</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_Toc88288491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3.4 市场预测</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_Toc88288491 </w:instrText>
          </w:r>
          <w:r>
            <w:rPr>
              <w:rFonts w:hint="default" w:ascii="FreeSerif" w:hAnsi="FreeSerif" w:cs="FreeSerif"/>
              <w:b w:val="0"/>
              <w:bCs/>
            </w:rPr>
            <w:fldChar w:fldCharType="separate"/>
          </w:r>
          <w:r>
            <w:rPr>
              <w:rFonts w:hint="default" w:ascii="FreeSerif" w:hAnsi="FreeSerif" w:cs="FreeSerif"/>
              <w:b w:val="0"/>
              <w:bCs/>
            </w:rPr>
            <w:t>34</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_Toc1831878855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3.5 对策建议</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_Toc1831878855 </w:instrText>
          </w:r>
          <w:r>
            <w:rPr>
              <w:rFonts w:hint="default" w:ascii="FreeSerif" w:hAnsi="FreeSerif" w:cs="FreeSerif"/>
              <w:b w:val="0"/>
              <w:bCs/>
            </w:rPr>
            <w:fldChar w:fldCharType="separate"/>
          </w:r>
          <w:r>
            <w:rPr>
              <w:rFonts w:hint="default" w:ascii="FreeSerif" w:hAnsi="FreeSerif" w:cs="FreeSerif"/>
              <w:b w:val="0"/>
              <w:bCs/>
            </w:rPr>
            <w:t>35</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2"/>
            <w:keepNext w:val="0"/>
            <w:keepLines w:val="0"/>
            <w:pageBreakBefore w:val="0"/>
            <w:widowControl w:val="0"/>
            <w:tabs>
              <w:tab w:val="right" w:leader="dot" w:pos="8844"/>
              <w:tab w:val="clear" w:pos="1050"/>
              <w:tab w:val="clear" w:pos="8296"/>
            </w:tabs>
            <w:kinsoku/>
            <w:wordWrap/>
            <w:overflowPunct w:val="0"/>
            <w:topLinePunct w:val="0"/>
            <w:autoSpaceDE/>
            <w:autoSpaceDN/>
            <w:bidi w:val="0"/>
            <w:adjustRightInd/>
            <w:snapToGrid/>
            <w:spacing w:after="0" w:line="500" w:lineRule="exact"/>
            <w:jc w:val="both"/>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_Toc737099324 </w:instrText>
          </w:r>
          <w:r>
            <w:rPr>
              <w:rFonts w:hint="default" w:ascii="FreeSerif" w:hAnsi="FreeSerif" w:eastAsia="方正仿宋_GBK" w:cs="FreeSerif"/>
              <w:b w:val="0"/>
              <w:bCs/>
              <w:szCs w:val="21"/>
              <w:lang w:val="zh-CN"/>
            </w:rPr>
            <w:fldChar w:fldCharType="separate"/>
          </w:r>
          <w:r>
            <w:rPr>
              <w:rFonts w:hint="default" w:ascii="FreeSerif" w:hAnsi="FreeSerif" w:eastAsia="方正黑体_GBK" w:cs="FreeSerif"/>
              <w:b w:val="0"/>
              <w:bCs/>
              <w:szCs w:val="32"/>
            </w:rPr>
            <w:t>第</w:t>
          </w:r>
          <w:r>
            <w:rPr>
              <w:rFonts w:hint="default" w:ascii="FreeSerif" w:hAnsi="FreeSerif" w:eastAsia="方正黑体_GBK" w:cs="FreeSerif"/>
              <w:b w:val="0"/>
              <w:bCs/>
              <w:szCs w:val="32"/>
              <w:lang w:eastAsia="zh-CN"/>
            </w:rPr>
            <w:t>四</w:t>
          </w:r>
          <w:r>
            <w:rPr>
              <w:rFonts w:hint="default" w:ascii="FreeSerif" w:hAnsi="FreeSerif" w:eastAsia="方正黑体_GBK" w:cs="FreeSerif"/>
              <w:b w:val="0"/>
              <w:bCs/>
              <w:szCs w:val="32"/>
            </w:rPr>
            <w:t>章 危险货物道路运输发展策略</w:t>
          </w:r>
          <w:r>
            <w:rPr>
              <w:rFonts w:hint="default" w:ascii="FreeSerif" w:hAnsi="FreeSerif" w:cs="FreeSerif"/>
              <w:b w:val="0"/>
              <w:bCs/>
            </w:rPr>
            <w:tab/>
          </w:r>
          <w:r>
            <w:rPr>
              <w:rFonts w:hint="default" w:ascii="FreeSerif" w:hAnsi="FreeSerif" w:cs="FreeSerif"/>
              <w:b w:val="0"/>
              <w:bCs/>
              <w:sz w:val="28"/>
              <w:szCs w:val="24"/>
            </w:rPr>
            <w:fldChar w:fldCharType="begin"/>
          </w:r>
          <w:r>
            <w:rPr>
              <w:rFonts w:hint="default" w:ascii="FreeSerif" w:hAnsi="FreeSerif" w:cs="FreeSerif"/>
              <w:b w:val="0"/>
              <w:bCs/>
              <w:sz w:val="28"/>
              <w:szCs w:val="24"/>
            </w:rPr>
            <w:instrText xml:space="preserve"> PAGEREF _Toc737099324 </w:instrText>
          </w:r>
          <w:r>
            <w:rPr>
              <w:rFonts w:hint="default" w:ascii="FreeSerif" w:hAnsi="FreeSerif" w:cs="FreeSerif"/>
              <w:b w:val="0"/>
              <w:bCs/>
              <w:sz w:val="28"/>
              <w:szCs w:val="24"/>
            </w:rPr>
            <w:fldChar w:fldCharType="separate"/>
          </w:r>
          <w:r>
            <w:rPr>
              <w:rFonts w:hint="default" w:ascii="FreeSerif" w:hAnsi="FreeSerif" w:cs="FreeSerif"/>
              <w:b w:val="0"/>
              <w:bCs/>
              <w:sz w:val="28"/>
              <w:szCs w:val="24"/>
            </w:rPr>
            <w:t>37</w:t>
          </w:r>
          <w:r>
            <w:rPr>
              <w:rFonts w:hint="default" w:ascii="FreeSerif" w:hAnsi="FreeSerif" w:cs="FreeSerif"/>
              <w:b w:val="0"/>
              <w:bCs/>
              <w:sz w:val="28"/>
              <w:szCs w:val="24"/>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_Toc1392323532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4.1 行业发展趋势</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_Toc1392323532 </w:instrText>
          </w:r>
          <w:r>
            <w:rPr>
              <w:rFonts w:hint="default" w:ascii="FreeSerif" w:hAnsi="FreeSerif" w:cs="FreeSerif"/>
              <w:b w:val="0"/>
              <w:bCs/>
            </w:rPr>
            <w:fldChar w:fldCharType="separate"/>
          </w:r>
          <w:r>
            <w:rPr>
              <w:rFonts w:hint="default" w:ascii="FreeSerif" w:hAnsi="FreeSerif" w:cs="FreeSerif"/>
              <w:b w:val="0"/>
              <w:bCs/>
            </w:rPr>
            <w:t>37</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_Toc2031359132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4.2 危险货物道路运输运力调控策略</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_Toc2031359132 </w:instrText>
          </w:r>
          <w:r>
            <w:rPr>
              <w:rFonts w:hint="default" w:ascii="FreeSerif" w:hAnsi="FreeSerif" w:cs="FreeSerif"/>
              <w:b w:val="0"/>
              <w:bCs/>
            </w:rPr>
            <w:fldChar w:fldCharType="separate"/>
          </w:r>
          <w:r>
            <w:rPr>
              <w:rFonts w:hint="default" w:ascii="FreeSerif" w:hAnsi="FreeSerif" w:cs="FreeSerif"/>
              <w:b w:val="0"/>
              <w:bCs/>
            </w:rPr>
            <w:t>39</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_Toc1728568315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4.3 市场准入策略</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_Toc1728568315 </w:instrText>
          </w:r>
          <w:r>
            <w:rPr>
              <w:rFonts w:hint="default" w:ascii="FreeSerif" w:hAnsi="FreeSerif" w:cs="FreeSerif"/>
              <w:b w:val="0"/>
              <w:bCs/>
            </w:rPr>
            <w:fldChar w:fldCharType="separate"/>
          </w:r>
          <w:r>
            <w:rPr>
              <w:rFonts w:hint="default" w:ascii="FreeSerif" w:hAnsi="FreeSerif" w:cs="FreeSerif"/>
              <w:b w:val="0"/>
              <w:bCs/>
            </w:rPr>
            <w:t>43</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_Toc1132317638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4.4 运输安全管理策略</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_Toc1132317638 </w:instrText>
          </w:r>
          <w:r>
            <w:rPr>
              <w:rFonts w:hint="default" w:ascii="FreeSerif" w:hAnsi="FreeSerif" w:cs="FreeSerif"/>
              <w:b w:val="0"/>
              <w:bCs/>
            </w:rPr>
            <w:fldChar w:fldCharType="separate"/>
          </w:r>
          <w:r>
            <w:rPr>
              <w:rFonts w:hint="default" w:ascii="FreeSerif" w:hAnsi="FreeSerif" w:cs="FreeSerif"/>
              <w:b w:val="0"/>
              <w:bCs/>
            </w:rPr>
            <w:t>46</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2"/>
            <w:keepNext w:val="0"/>
            <w:keepLines w:val="0"/>
            <w:pageBreakBefore w:val="0"/>
            <w:widowControl w:val="0"/>
            <w:tabs>
              <w:tab w:val="right" w:leader="dot" w:pos="8844"/>
              <w:tab w:val="clear" w:pos="1050"/>
              <w:tab w:val="clear" w:pos="8296"/>
            </w:tabs>
            <w:kinsoku/>
            <w:wordWrap/>
            <w:overflowPunct w:val="0"/>
            <w:topLinePunct w:val="0"/>
            <w:autoSpaceDE/>
            <w:autoSpaceDN/>
            <w:bidi w:val="0"/>
            <w:adjustRightInd/>
            <w:snapToGrid/>
            <w:spacing w:after="0" w:line="500" w:lineRule="exact"/>
            <w:jc w:val="both"/>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_Toc1929425132 </w:instrText>
          </w:r>
          <w:r>
            <w:rPr>
              <w:rFonts w:hint="default" w:ascii="FreeSerif" w:hAnsi="FreeSerif" w:eastAsia="方正仿宋_GBK" w:cs="FreeSerif"/>
              <w:b w:val="0"/>
              <w:bCs/>
              <w:szCs w:val="21"/>
              <w:lang w:val="zh-CN"/>
            </w:rPr>
            <w:fldChar w:fldCharType="separate"/>
          </w:r>
          <w:r>
            <w:rPr>
              <w:rFonts w:hint="default" w:ascii="FreeSerif" w:hAnsi="FreeSerif" w:eastAsia="方正黑体_GBK" w:cs="FreeSerif"/>
              <w:b w:val="0"/>
              <w:bCs/>
              <w:szCs w:val="32"/>
            </w:rPr>
            <w:t>第</w:t>
          </w:r>
          <w:r>
            <w:rPr>
              <w:rFonts w:hint="default" w:ascii="FreeSerif" w:hAnsi="FreeSerif" w:eastAsia="方正黑体_GBK" w:cs="FreeSerif"/>
              <w:b w:val="0"/>
              <w:bCs/>
              <w:szCs w:val="32"/>
              <w:lang w:eastAsia="zh-CN"/>
            </w:rPr>
            <w:t>五</w:t>
          </w:r>
          <w:r>
            <w:rPr>
              <w:rFonts w:hint="default" w:ascii="FreeSerif" w:hAnsi="FreeSerif" w:eastAsia="方正黑体_GBK" w:cs="FreeSerif"/>
              <w:b w:val="0"/>
              <w:bCs/>
              <w:szCs w:val="32"/>
            </w:rPr>
            <w:t>章 规划实施建议及保障措施</w:t>
          </w:r>
          <w:r>
            <w:rPr>
              <w:rFonts w:hint="default" w:ascii="FreeSerif" w:hAnsi="FreeSerif" w:cs="FreeSerif"/>
              <w:b w:val="0"/>
              <w:bCs/>
            </w:rPr>
            <w:tab/>
          </w:r>
          <w:r>
            <w:rPr>
              <w:rFonts w:hint="default" w:ascii="FreeSerif" w:hAnsi="FreeSerif" w:cs="FreeSerif"/>
              <w:b w:val="0"/>
              <w:bCs/>
              <w:sz w:val="28"/>
              <w:szCs w:val="24"/>
            </w:rPr>
            <w:fldChar w:fldCharType="begin"/>
          </w:r>
          <w:r>
            <w:rPr>
              <w:rFonts w:hint="default" w:ascii="FreeSerif" w:hAnsi="FreeSerif" w:cs="FreeSerif"/>
              <w:b w:val="0"/>
              <w:bCs/>
              <w:sz w:val="28"/>
              <w:szCs w:val="24"/>
            </w:rPr>
            <w:instrText xml:space="preserve"> PAGEREF _Toc1929425132 </w:instrText>
          </w:r>
          <w:r>
            <w:rPr>
              <w:rFonts w:hint="default" w:ascii="FreeSerif" w:hAnsi="FreeSerif" w:cs="FreeSerif"/>
              <w:b w:val="0"/>
              <w:bCs/>
              <w:sz w:val="28"/>
              <w:szCs w:val="24"/>
            </w:rPr>
            <w:fldChar w:fldCharType="separate"/>
          </w:r>
          <w:r>
            <w:rPr>
              <w:rFonts w:hint="default" w:ascii="FreeSerif" w:hAnsi="FreeSerif" w:cs="FreeSerif"/>
              <w:b w:val="0"/>
              <w:bCs/>
              <w:sz w:val="28"/>
              <w:szCs w:val="24"/>
            </w:rPr>
            <w:t>48</w:t>
          </w:r>
          <w:r>
            <w:rPr>
              <w:rFonts w:hint="default" w:ascii="FreeSerif" w:hAnsi="FreeSerif" w:cs="FreeSerif"/>
              <w:b w:val="0"/>
              <w:bCs/>
              <w:sz w:val="28"/>
              <w:szCs w:val="24"/>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rPr>
              <w:rFonts w:hint="default" w:ascii="FreeSerif" w:hAnsi="FreeSerif" w:cs="FreeSerif"/>
              <w:b w:val="0"/>
              <w:bCs/>
            </w:rPr>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_Toc612226231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5.1 规划实施建议</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_Toc612226231 </w:instrText>
          </w:r>
          <w:r>
            <w:rPr>
              <w:rFonts w:hint="default" w:ascii="FreeSerif" w:hAnsi="FreeSerif" w:cs="FreeSerif"/>
              <w:b w:val="0"/>
              <w:bCs/>
            </w:rPr>
            <w:fldChar w:fldCharType="separate"/>
          </w:r>
          <w:r>
            <w:rPr>
              <w:rFonts w:hint="default" w:ascii="FreeSerif" w:hAnsi="FreeSerif" w:cs="FreeSerif"/>
              <w:b w:val="0"/>
              <w:bCs/>
            </w:rPr>
            <w:t>48</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pStyle w:val="13"/>
            <w:keepNext w:val="0"/>
            <w:keepLines w:val="0"/>
            <w:pageBreakBefore w:val="0"/>
            <w:widowControl w:val="0"/>
            <w:tabs>
              <w:tab w:val="right" w:leader="dot" w:pos="8844"/>
              <w:tab w:val="clear" w:pos="8296"/>
            </w:tabs>
            <w:kinsoku/>
            <w:wordWrap/>
            <w:overflowPunct w:val="0"/>
            <w:topLinePunct w:val="0"/>
            <w:autoSpaceDE/>
            <w:autoSpaceDN/>
            <w:bidi w:val="0"/>
            <w:adjustRightInd/>
            <w:snapToGrid/>
            <w:spacing w:after="0" w:line="500" w:lineRule="exact"/>
            <w:ind w:left="0" w:firstLine="420" w:firstLineChars="150"/>
            <w:textAlignment w:val="auto"/>
          </w:pPr>
          <w:r>
            <w:rPr>
              <w:rFonts w:hint="default" w:ascii="FreeSerif" w:hAnsi="FreeSerif" w:eastAsia="方正仿宋_GBK" w:cs="FreeSerif"/>
              <w:b w:val="0"/>
              <w:bCs/>
              <w:szCs w:val="21"/>
              <w:lang w:val="zh-CN"/>
            </w:rPr>
            <w:fldChar w:fldCharType="begin"/>
          </w:r>
          <w:r>
            <w:rPr>
              <w:rFonts w:hint="default" w:ascii="FreeSerif" w:hAnsi="FreeSerif" w:eastAsia="方正仿宋_GBK" w:cs="FreeSerif"/>
              <w:b w:val="0"/>
              <w:bCs/>
              <w:szCs w:val="21"/>
              <w:lang w:val="zh-CN"/>
            </w:rPr>
            <w:instrText xml:space="preserve"> HYPERLINK \l _Toc994337142 </w:instrText>
          </w:r>
          <w:r>
            <w:rPr>
              <w:rFonts w:hint="default" w:ascii="FreeSerif" w:hAnsi="FreeSerif" w:eastAsia="方正仿宋_GBK" w:cs="FreeSerif"/>
              <w:b w:val="0"/>
              <w:bCs/>
              <w:szCs w:val="21"/>
              <w:lang w:val="zh-CN"/>
            </w:rPr>
            <w:fldChar w:fldCharType="separate"/>
          </w:r>
          <w:r>
            <w:rPr>
              <w:rFonts w:hint="default" w:ascii="FreeSerif" w:hAnsi="FreeSerif" w:eastAsia="方正楷体_GBK" w:cs="FreeSerif"/>
              <w:b w:val="0"/>
              <w:bCs/>
              <w:szCs w:val="32"/>
            </w:rPr>
            <w:t>5.2规划保障措施</w:t>
          </w:r>
          <w:r>
            <w:rPr>
              <w:rFonts w:hint="default" w:ascii="FreeSerif" w:hAnsi="FreeSerif" w:cs="FreeSerif"/>
              <w:b w:val="0"/>
              <w:bCs/>
            </w:rPr>
            <w:tab/>
          </w:r>
          <w:r>
            <w:rPr>
              <w:rFonts w:hint="default" w:ascii="FreeSerif" w:hAnsi="FreeSerif" w:cs="FreeSerif"/>
              <w:b w:val="0"/>
              <w:bCs/>
            </w:rPr>
            <w:fldChar w:fldCharType="begin"/>
          </w:r>
          <w:r>
            <w:rPr>
              <w:rFonts w:hint="default" w:ascii="FreeSerif" w:hAnsi="FreeSerif" w:cs="FreeSerif"/>
              <w:b w:val="0"/>
              <w:bCs/>
            </w:rPr>
            <w:instrText xml:space="preserve"> PAGEREF _Toc994337142 </w:instrText>
          </w:r>
          <w:r>
            <w:rPr>
              <w:rFonts w:hint="default" w:ascii="FreeSerif" w:hAnsi="FreeSerif" w:cs="FreeSerif"/>
              <w:b w:val="0"/>
              <w:bCs/>
            </w:rPr>
            <w:fldChar w:fldCharType="separate"/>
          </w:r>
          <w:r>
            <w:rPr>
              <w:rFonts w:hint="default" w:ascii="FreeSerif" w:hAnsi="FreeSerif" w:cs="FreeSerif"/>
              <w:b w:val="0"/>
              <w:bCs/>
            </w:rPr>
            <w:t>50</w:t>
          </w:r>
          <w:r>
            <w:rPr>
              <w:rFonts w:hint="default" w:ascii="FreeSerif" w:hAnsi="FreeSerif" w:cs="FreeSerif"/>
              <w:b w:val="0"/>
              <w:bCs/>
            </w:rPr>
            <w:fldChar w:fldCharType="end"/>
          </w:r>
          <w:r>
            <w:rPr>
              <w:rFonts w:hint="default" w:ascii="FreeSerif" w:hAnsi="FreeSerif" w:eastAsia="方正仿宋_GBK" w:cs="FreeSerif"/>
              <w:b w:val="0"/>
              <w:bCs/>
              <w:szCs w:val="21"/>
              <w:lang w:val="zh-CN"/>
            </w:rPr>
            <w:fldChar w:fldCharType="end"/>
          </w:r>
        </w:p>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FreeSerif" w:hAnsi="FreeSerif" w:eastAsia="仿宋" w:cs="FreeSerif"/>
              <w:sz w:val="28"/>
              <w:szCs w:val="28"/>
            </w:rPr>
          </w:pPr>
          <w:r>
            <w:rPr>
              <w:rFonts w:hint="default" w:ascii="FreeSerif" w:hAnsi="FreeSerif" w:eastAsia="方正仿宋_GBK" w:cs="FreeSerif"/>
              <w:bCs w:val="0"/>
              <w:szCs w:val="21"/>
              <w:lang w:val="zh-CN"/>
            </w:rPr>
            <w:fldChar w:fldCharType="end"/>
          </w:r>
        </w:p>
      </w:sdtContent>
    </w:sdt>
    <w:p>
      <w:pPr>
        <w:pStyle w:val="3"/>
        <w:jc w:val="both"/>
        <w:rPr>
          <w:rFonts w:hint="default" w:ascii="FreeSerif" w:hAnsi="FreeSerif" w:eastAsia="黑体" w:cs="FreeSerif"/>
          <w:sz w:val="32"/>
          <w:szCs w:val="32"/>
        </w:rPr>
      </w:pPr>
    </w:p>
    <w:p>
      <w:pPr>
        <w:bidi w:val="0"/>
        <w:rPr>
          <w:rFonts w:hint="default"/>
        </w:rPr>
      </w:pPr>
    </w:p>
    <w:p>
      <w:pPr>
        <w:bidi w:val="0"/>
        <w:rPr>
          <w:rFonts w:hint="default"/>
        </w:rPr>
      </w:pPr>
    </w:p>
    <w:p>
      <w:pPr>
        <w:bidi w:val="0"/>
        <w:rPr>
          <w:rFonts w:hint="default"/>
        </w:rPr>
      </w:pPr>
    </w:p>
    <w:p>
      <w:pPr>
        <w:tabs>
          <w:tab w:val="left" w:pos="3654"/>
        </w:tabs>
        <w:bidi w:val="0"/>
        <w:jc w:val="left"/>
        <w:rPr>
          <w:rFonts w:hint="eastAsia" w:eastAsiaTheme="minorEastAsia"/>
          <w:lang w:eastAsia="zh-CN"/>
        </w:rPr>
        <w:sectPr>
          <w:footerReference r:id="rId4" w:type="default"/>
          <w:pgSz w:w="11906" w:h="16838"/>
          <w:pgMar w:top="2041" w:right="1531" w:bottom="2041" w:left="1531" w:header="851" w:footer="1672" w:gutter="0"/>
          <w:pgNumType w:fmt="decimal" w:start="1"/>
          <w:cols w:space="0" w:num="1"/>
          <w:rtlGutter w:val="0"/>
          <w:docGrid w:type="lines" w:linePitch="312" w:charSpace="0"/>
        </w:sectPr>
      </w:pPr>
      <w:r>
        <w:rPr>
          <w:rFonts w:hint="eastAsia"/>
          <w:lang w:eastAsia="zh-CN"/>
        </w:rPr>
        <w:tab/>
      </w:r>
    </w:p>
    <w:p>
      <w:pPr>
        <w:keepNext w:val="0"/>
        <w:keepLines w:val="0"/>
        <w:pageBreakBefore w:val="0"/>
        <w:widowControl w:val="0"/>
        <w:kinsoku/>
        <w:wordWrap/>
        <w:overflowPunct w:val="0"/>
        <w:topLinePunct w:val="0"/>
        <w:autoSpaceDE/>
        <w:autoSpaceDN/>
        <w:bidi w:val="0"/>
        <w:adjustRightInd/>
        <w:snapToGrid/>
        <w:spacing w:line="578" w:lineRule="exact"/>
        <w:jc w:val="center"/>
        <w:textAlignment w:val="auto"/>
        <w:outlineLvl w:val="0"/>
        <w:rPr>
          <w:rFonts w:hint="default" w:ascii="FreeSerif" w:hAnsi="FreeSerif" w:eastAsia="方正黑体_GBK" w:cs="FreeSerif"/>
          <w:sz w:val="32"/>
          <w:szCs w:val="32"/>
        </w:rPr>
      </w:pPr>
      <w:bookmarkStart w:id="1" w:name="_Toc1795408298"/>
      <w:r>
        <w:rPr>
          <w:rFonts w:hint="default" w:ascii="FreeSerif" w:hAnsi="FreeSerif" w:eastAsia="方正黑体_GBK" w:cs="FreeSerif"/>
          <w:sz w:val="32"/>
          <w:szCs w:val="32"/>
        </w:rPr>
        <w:t>第</w:t>
      </w:r>
      <w:r>
        <w:rPr>
          <w:rFonts w:hint="default" w:ascii="FreeSerif" w:hAnsi="FreeSerif" w:eastAsia="方正黑体_GBK" w:cs="FreeSerif"/>
          <w:sz w:val="32"/>
          <w:szCs w:val="32"/>
          <w:lang w:eastAsia="zh-CN"/>
        </w:rPr>
        <w:t>一</w:t>
      </w:r>
      <w:r>
        <w:rPr>
          <w:rFonts w:hint="default" w:ascii="FreeSerif" w:hAnsi="FreeSerif" w:eastAsia="方正黑体_GBK" w:cs="FreeSerif"/>
          <w:sz w:val="32"/>
          <w:szCs w:val="32"/>
        </w:rPr>
        <w:t xml:space="preserve">章 </w:t>
      </w:r>
      <w:r>
        <w:rPr>
          <w:rFonts w:hint="default" w:ascii="FreeSerif" w:hAnsi="FreeSerif" w:eastAsia="方正黑体_GBK" w:cs="FreeSerif"/>
          <w:sz w:val="32"/>
          <w:szCs w:val="32"/>
          <w:lang w:eastAsia="zh-CN"/>
        </w:rPr>
        <w:t>　</w:t>
      </w:r>
      <w:r>
        <w:rPr>
          <w:rFonts w:hint="default" w:ascii="FreeSerif" w:hAnsi="FreeSerif" w:eastAsia="方正黑体_GBK" w:cs="FreeSerif"/>
          <w:sz w:val="32"/>
          <w:szCs w:val="32"/>
        </w:rPr>
        <w:t>概 述</w:t>
      </w:r>
      <w:bookmarkEnd w:id="0"/>
      <w:bookmarkEnd w:id="1"/>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2" w:name="_Toc7199859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3" w:name="_Toc555643377"/>
      <w:r>
        <w:rPr>
          <w:rFonts w:hint="default" w:ascii="FreeSerif" w:hAnsi="FreeSerif" w:eastAsia="方正楷体_GBK" w:cs="FreeSerif"/>
          <w:sz w:val="32"/>
          <w:szCs w:val="32"/>
        </w:rPr>
        <w:t>1.1规划背景</w:t>
      </w:r>
      <w:bookmarkEnd w:id="2"/>
      <w:bookmarkEnd w:id="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险货物道路运输所承载货物具有易燃、易爆、腐蚀、毒害等危险特性。危险货物道路运输市场准入管理，是保障危险货物道路运输行业健康发展、安全运行的第一关卡。为落实党中央国务院的部署要求，深入贯彻习近平总书记关于安全生产重要指示，坚守发展决不能以牺牲人的生命为代价的红线意识，切实强化危险货物道路运输安全治理，特制定白城市危险货物道路运输发展规划，进一步健全完善全市危险货物道路运输安全生产监督检查体系，规范行业监管部门安全生产监督检查行为，让危险货物道路运输更加安全高效。</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4" w:name="_Toc71998594"/>
      <w:bookmarkStart w:id="5" w:name="_Toc1152379490"/>
      <w:r>
        <w:rPr>
          <w:rFonts w:hint="default" w:ascii="FreeSerif" w:hAnsi="FreeSerif" w:eastAsia="方正楷体_GBK" w:cs="FreeSerif"/>
          <w:sz w:val="32"/>
          <w:szCs w:val="32"/>
        </w:rPr>
        <w:t>1.2规划依据</w:t>
      </w:r>
      <w:bookmarkEnd w:id="4"/>
      <w:bookmarkEnd w:id="5"/>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1.《中华人民共和国安全生产法》（2021年）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2.《中华人民共和国特种设备安全法》（2014年）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3.《中华人民共和国道路交通安全法》（2021年）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4.《中华人民共和国固体废物污染环境防治法》（2020年）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5.《中华人民共和国环境保护法》（2015年）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6.《中华人民共和国刑法》（2021年）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7.《中华人民共和国突发事件应对法》（2007年）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8.《危险化学品安全管理条例》（2013年）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9.《中华人民共和国道路运输条例》（2016年）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10.《中华人民共和国道路交通安全法实施条例》（2004年）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11.《公路安全保护条例》（2011年）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12.《生产安全事故应急条例》（2019年）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13.《放射性物品运输安全管理条例》（2010年）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14.《道路运输车辆技术管理规定》（2016年）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15.《道路运输车辆动态监督管理办法》（交通运输部令2016年第55号）</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16.《危险货物道路运输企业运输事故应急预案编制要求》（JT/T 911</w:t>
      </w:r>
      <w:r>
        <w:rPr>
          <w:rFonts w:hint="default" w:ascii="FreeSerif" w:hAnsi="FreeSerif" w:eastAsia="方正书宋_GBK" w:cs="FreeSerif"/>
          <w:sz w:val="32"/>
          <w:szCs w:val="32"/>
        </w:rPr>
        <w:t>—</w:t>
      </w:r>
      <w:r>
        <w:rPr>
          <w:rFonts w:hint="default" w:ascii="FreeSerif" w:hAnsi="FreeSerif" w:eastAsia="方正仿宋_GBK" w:cs="FreeSerif"/>
          <w:sz w:val="32"/>
          <w:szCs w:val="32"/>
          <w:lang w:val="en"/>
        </w:rPr>
        <w:t>2014</w:t>
      </w:r>
      <w:r>
        <w:rPr>
          <w:rFonts w:hint="default" w:ascii="FreeSerif" w:hAnsi="FreeSerif" w:eastAsia="方正仿宋_GBK" w:cs="FreeSerif"/>
          <w:sz w:val="32"/>
          <w:szCs w:val="32"/>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17.《危险货物道路运输企业安全生产管理制度编写要求》（JT/T 912</w:t>
      </w:r>
      <w:r>
        <w:rPr>
          <w:rFonts w:hint="default" w:ascii="FreeSerif" w:hAnsi="FreeSerif" w:eastAsia="方正书宋_GBK" w:cs="FreeSerif"/>
          <w:sz w:val="32"/>
          <w:szCs w:val="32"/>
        </w:rPr>
        <w:t>—</w:t>
      </w:r>
      <w:r>
        <w:rPr>
          <w:rFonts w:hint="default" w:ascii="FreeSerif" w:hAnsi="FreeSerif" w:eastAsia="方正仿宋_GBK" w:cs="FreeSerif"/>
          <w:sz w:val="32"/>
          <w:szCs w:val="32"/>
          <w:lang w:val="en"/>
        </w:rPr>
        <w:t>2014</w:t>
      </w:r>
      <w:r>
        <w:rPr>
          <w:rFonts w:hint="default" w:ascii="FreeSerif" w:hAnsi="FreeSerif" w:eastAsia="方正仿宋_GBK" w:cs="FreeSerif"/>
          <w:sz w:val="32"/>
          <w:szCs w:val="32"/>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18.《危险货物道路运输企业安全生产责任制编写要求》（JT/T 913</w:t>
      </w:r>
      <w:r>
        <w:rPr>
          <w:rFonts w:hint="default" w:ascii="FreeSerif" w:hAnsi="FreeSerif" w:eastAsia="方正书宋_GBK" w:cs="FreeSerif"/>
          <w:sz w:val="32"/>
          <w:szCs w:val="32"/>
        </w:rPr>
        <w:t>—</w:t>
      </w:r>
      <w:r>
        <w:rPr>
          <w:rFonts w:hint="default" w:ascii="FreeSerif" w:hAnsi="FreeSerif" w:eastAsia="方正仿宋_GBK" w:cs="FreeSerif"/>
          <w:sz w:val="32"/>
          <w:szCs w:val="32"/>
          <w:lang w:val="en"/>
        </w:rPr>
        <w:t>2014</w:t>
      </w:r>
      <w:r>
        <w:rPr>
          <w:rFonts w:hint="default" w:ascii="FreeSerif" w:hAnsi="FreeSerif" w:eastAsia="方正仿宋_GBK" w:cs="FreeSerif"/>
          <w:sz w:val="32"/>
          <w:szCs w:val="32"/>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19.《危险货物道路运输企业安全生产档案管理技术要求》（JT/T 914</w:t>
      </w:r>
      <w:r>
        <w:rPr>
          <w:rFonts w:hint="default" w:ascii="FreeSerif" w:hAnsi="FreeSerif" w:eastAsia="方正书宋_GBK" w:cs="FreeSerif"/>
          <w:sz w:val="32"/>
          <w:szCs w:val="32"/>
        </w:rPr>
        <w:t>—</w:t>
      </w:r>
      <w:r>
        <w:rPr>
          <w:rFonts w:hint="default" w:ascii="FreeSerif" w:hAnsi="FreeSerif" w:eastAsia="方正仿宋_GBK" w:cs="FreeSerif"/>
          <w:sz w:val="32"/>
          <w:szCs w:val="32"/>
          <w:lang w:val="en"/>
        </w:rPr>
        <w:t>2014</w:t>
      </w:r>
      <w:r>
        <w:rPr>
          <w:rFonts w:hint="default" w:ascii="FreeSerif" w:hAnsi="FreeSerif" w:eastAsia="方正仿宋_GBK" w:cs="FreeSerif"/>
          <w:sz w:val="32"/>
          <w:szCs w:val="32"/>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20.</w:t>
      </w:r>
      <w:bookmarkStart w:id="6" w:name="_Hlk69391451"/>
      <w:r>
        <w:rPr>
          <w:rFonts w:hint="default" w:ascii="FreeSerif" w:hAnsi="FreeSerif" w:eastAsia="方正仿宋_GBK" w:cs="FreeSerif"/>
          <w:sz w:val="32"/>
          <w:szCs w:val="32"/>
        </w:rPr>
        <w:t>《危险货物道路运输规则》（JT/T 617</w:t>
      </w:r>
      <w:bookmarkEnd w:id="6"/>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2018）</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21.《危险货物道路运输安全管理办法》（中华人民共和国交通运输部令2019年第29号）</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22.《道路危险货物运输管理规定》（中华人民共和国交通运输部令 2019年第42号）</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23.《吉林省道路运输领域安全生产监督检查指导手册》（2020年）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24.《吉林省道路危险货物运输专项整治实施方案》（2019</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2022年）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25.</w:t>
      </w:r>
      <w:bookmarkStart w:id="7" w:name="_Hlk69375247"/>
      <w:r>
        <w:rPr>
          <w:rFonts w:hint="default" w:ascii="FreeSerif" w:hAnsi="FreeSerif" w:eastAsia="方正仿宋_GBK" w:cs="FreeSerif"/>
          <w:sz w:val="32"/>
          <w:szCs w:val="32"/>
        </w:rPr>
        <w:t>《吉林省危险化学品道路运输安全集中整治实施方案》</w:t>
      </w:r>
      <w:bookmarkEnd w:id="7"/>
      <w:r>
        <w:rPr>
          <w:rFonts w:hint="default" w:ascii="FreeSerif" w:hAnsi="FreeSerif" w:eastAsia="方正仿宋_GBK" w:cs="FreeSerif"/>
          <w:sz w:val="32"/>
          <w:szCs w:val="32"/>
        </w:rPr>
        <w:t>（2020年）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26.《国务院办公厅关于印发危险化学品安全综合治理方案的通知》（国办发〔2016〕88号）</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27.《白城新能源与氢能产业发展规划》（2019年）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28.《白城市国民经济和社会发展第十四个五年规划》（2021年）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29.《白城市国民经济和社会发展第十四个五年规划及2035年远景目标纲要任务清单》（2021年）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30.《吉林西部（大安）清洁能源化工产业园产业规划》（2021年）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31.《白城市化工园区总体规划》（2020</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2035）</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32.《白城绿电产业示范园区建设规划》（2021年）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33.《白城绿电产业示范园区总体发展规划》（2022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2035）</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34.《白城绿电产业示范园区建设情况汇报》（2022年）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8" w:name="_Toc241763360"/>
      <w:bookmarkStart w:id="9" w:name="_Toc71998595"/>
      <w:r>
        <w:rPr>
          <w:rFonts w:hint="default" w:ascii="FreeSerif" w:hAnsi="FreeSerif" w:eastAsia="方正楷体_GBK" w:cs="FreeSerif"/>
          <w:sz w:val="32"/>
          <w:szCs w:val="32"/>
        </w:rPr>
        <w:t>1.3规划范围与年限</w:t>
      </w:r>
      <w:bookmarkEnd w:id="8"/>
      <w:bookmarkEnd w:id="9"/>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0" w:name="_Toc71998596"/>
      <w:bookmarkStart w:id="11" w:name="_Toc86007933"/>
      <w:bookmarkStart w:id="12" w:name="_Toc86007796"/>
      <w:bookmarkStart w:id="13" w:name="_Toc85706109"/>
      <w:r>
        <w:rPr>
          <w:rFonts w:hint="default" w:ascii="FreeSerif" w:hAnsi="FreeSerif" w:eastAsia="方正仿宋_GBK" w:cs="FreeSerif"/>
          <w:sz w:val="32"/>
          <w:szCs w:val="32"/>
        </w:rPr>
        <w:t>1.3.1规划范围</w:t>
      </w:r>
      <w:bookmarkEnd w:id="10"/>
      <w:bookmarkEnd w:id="11"/>
      <w:bookmarkEnd w:id="12"/>
      <w:bookmarkEnd w:id="13"/>
      <w:r>
        <w:rPr>
          <w:rFonts w:hint="default" w:ascii="FreeSerif" w:hAnsi="FreeSerif" w:eastAsia="方正仿宋_GBK" w:cs="FreeSerif"/>
          <w:sz w:val="32"/>
          <w:szCs w:val="32"/>
        </w:rPr>
        <w:t xml:space="preserve">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本规划覆盖白城市全域。</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本规划所称危险货物，是指具有爆炸、易燃、毒害、感染、腐蚀等危险特性，在生产、经营、运输、储存、使用和处置中，容易造成人身伤亡、财产损毁或者环境污染而需要特别防护的物质和物品。危险货物以列入国家标准《危险货物品名表》（GB12268）的为准，未列入《危险货物品名表》的，以有关法律、行政法规的规定或者国务院有关部门公布的结果为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本规划所称道路危险货物运输，是指使用载货汽车通过道路运输危险货物的作业全过程。</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本规划所称道路危险货物运输车辆，是指满足特定技术条件和要求，从事道路危险货物运输的载货汽车（以下简称专用车辆）。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本规划危险货物的分类、分项、品名和品名编号按照《危险货物道路运输规则》（JT/T617</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2018）和《危险货物品名表》（GB12268）执行。危险货物的危险程度依据国家标准《危险货物运输包装通用技术条件》（GB12463），分为Ⅰ、Ⅱ、Ⅲ等级。</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4" w:name="_Toc86007934"/>
      <w:bookmarkStart w:id="15" w:name="_Toc71998597"/>
      <w:bookmarkStart w:id="16" w:name="_Toc85706110"/>
      <w:bookmarkStart w:id="17" w:name="_Toc86007797"/>
      <w:r>
        <w:rPr>
          <w:rFonts w:hint="default" w:ascii="FreeSerif" w:hAnsi="FreeSerif" w:eastAsia="方正仿宋_GBK" w:cs="FreeSerif"/>
          <w:sz w:val="32"/>
          <w:szCs w:val="32"/>
        </w:rPr>
        <w:t>1.3.2规划年限</w:t>
      </w:r>
      <w:bookmarkEnd w:id="14"/>
      <w:bookmarkEnd w:id="15"/>
      <w:bookmarkEnd w:id="16"/>
      <w:bookmarkEnd w:id="17"/>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本规划年限为2022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2030年。2021年为规划基准年，2022年为规划起始年，2030年为规划目标年。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18" w:name="_Toc71998598"/>
      <w:bookmarkStart w:id="19" w:name="_Toc1211787122"/>
      <w:r>
        <w:rPr>
          <w:rFonts w:hint="default" w:ascii="FreeSerif" w:hAnsi="FreeSerif" w:eastAsia="方正楷体_GBK" w:cs="FreeSerif"/>
          <w:sz w:val="32"/>
          <w:szCs w:val="32"/>
        </w:rPr>
        <w:t>1.4指导思想与总体目标</w:t>
      </w:r>
      <w:bookmarkEnd w:id="18"/>
      <w:bookmarkEnd w:id="19"/>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20" w:name="_Toc71998599"/>
      <w:bookmarkStart w:id="21" w:name="_Toc86007799"/>
      <w:bookmarkStart w:id="22" w:name="_Toc85706112"/>
      <w:bookmarkStart w:id="23" w:name="_Toc86007936"/>
      <w:r>
        <w:rPr>
          <w:rFonts w:hint="default" w:ascii="FreeSerif" w:hAnsi="FreeSerif" w:eastAsia="方正仿宋_GBK" w:cs="FreeSerif"/>
          <w:sz w:val="32"/>
          <w:szCs w:val="32"/>
        </w:rPr>
        <w:t>1.4.1指导思想</w:t>
      </w:r>
      <w:bookmarkEnd w:id="20"/>
      <w:bookmarkEnd w:id="21"/>
      <w:bookmarkEnd w:id="22"/>
      <w:bookmarkEnd w:id="2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认真贯彻落实党的二十大精神,以习近平新时代中国特色社会主义思想为指导</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坚持安全第一、预防为主，建立大安全大应急框架</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严格履行</w:t>
      </w:r>
      <w:bookmarkStart w:id="24" w:name="_Hlk69930477"/>
      <w:r>
        <w:rPr>
          <w:rFonts w:hint="eastAsia" w:ascii="方正仿宋_GBK" w:hAnsi="方正仿宋_GBK" w:eastAsia="方正仿宋_GBK" w:cs="方正仿宋_GBK"/>
          <w:sz w:val="32"/>
          <w:szCs w:val="32"/>
        </w:rPr>
        <w:t>《安全生产法》</w:t>
      </w:r>
      <w:bookmarkEnd w:id="24"/>
      <w:r>
        <w:rPr>
          <w:rFonts w:hint="eastAsia" w:ascii="方正仿宋_GBK" w:hAnsi="方正仿宋_GBK" w:eastAsia="方正仿宋_GBK" w:cs="方正仿宋_GBK"/>
          <w:sz w:val="32"/>
          <w:szCs w:val="32"/>
        </w:rPr>
        <w:t>赋予的“县级以上地方各级人民政府有关部门依照本法和其他法律、法规的规定，在各自职责范围内对有关行业、领域的安全生产工作实施监督管理”“安全生产监督管理部门和其他负有安全生产监督管理职责的部门依法开展安全生产行政执法工作，对生产经营单位执行有关安全生产的法律、法规和国家标准或者行业标准的情况进行监督检查”的职责，依据有关法律法规、规章制度和相关标准规范，科学界定危险货物道路运输行业各领域安全监管职责，着力规范危货运输市场秩序,切实增强安全防范治理能力,为持续推进</w:t>
      </w:r>
      <w:r>
        <w:rPr>
          <w:rFonts w:hint="default" w:ascii="FreeSerif" w:hAnsi="FreeSerif" w:eastAsia="方正仿宋_GBK" w:cs="FreeSerif"/>
          <w:sz w:val="32"/>
          <w:szCs w:val="32"/>
        </w:rPr>
        <w:t>白城市经济社会发展奠定坚实基础。</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25" w:name="_Toc85706113"/>
      <w:bookmarkStart w:id="26" w:name="_Toc86007800"/>
      <w:bookmarkStart w:id="27" w:name="_Toc86007937"/>
      <w:bookmarkStart w:id="28" w:name="_Toc71998600"/>
      <w:r>
        <w:rPr>
          <w:rFonts w:hint="default" w:ascii="FreeSerif" w:hAnsi="FreeSerif" w:eastAsia="方正仿宋_GBK" w:cs="FreeSerif"/>
          <w:sz w:val="32"/>
          <w:szCs w:val="32"/>
        </w:rPr>
        <w:t>1.4.2总体目标</w:t>
      </w:r>
      <w:bookmarkEnd w:id="25"/>
      <w:bookmarkEnd w:id="26"/>
      <w:bookmarkEnd w:id="27"/>
      <w:bookmarkEnd w:id="2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以坚决遏制危险货物道路运输安全生产事故为目标，依法严把市场准入关,遏制行业规模不正常发展,通过依法加强行业经营资格审查,清理不合规危货运输企业和车辆。通过规范行业经营行为,促进危货运输企业建立健全安全管理制度、提升从业人员安全意识、强化安全隐患排查和治理、完善企业应急救援体系建设等安全生产主体责任落实。通过加强部门联动，建立齐抓共管的长效管理机制，促进行业监管能力和企业安全管理水平显著提高。加快推进危险货物道路运输信息化建设，畅通信息协同共享渠道，对运输车辆和驾驶员实施动态监控和管理，根治长期存在的顽症痼疾，有效防范化解重大安全风险，坚决遏制重特大事故发生，为经济社会发展营造安全稳定环境。</w:t>
      </w:r>
    </w:p>
    <w:p>
      <w:pPr>
        <w:keepNext w:val="0"/>
        <w:keepLines w:val="0"/>
        <w:pageBreakBefore w:val="0"/>
        <w:widowControl w:val="0"/>
        <w:kinsoku/>
        <w:wordWrap/>
        <w:overflowPunct w:val="0"/>
        <w:topLinePunct w:val="0"/>
        <w:autoSpaceDE/>
        <w:autoSpaceDN/>
        <w:bidi w:val="0"/>
        <w:adjustRightInd/>
        <w:snapToGrid/>
        <w:spacing w:line="578" w:lineRule="exact"/>
        <w:jc w:val="center"/>
        <w:textAlignment w:val="auto"/>
        <w:outlineLvl w:val="0"/>
        <w:rPr>
          <w:rFonts w:hint="default" w:ascii="FreeSerif" w:hAnsi="FreeSerif" w:eastAsia="方正黑体_GBK" w:cs="FreeSerif"/>
          <w:sz w:val="32"/>
          <w:szCs w:val="32"/>
        </w:rPr>
      </w:pPr>
    </w:p>
    <w:p>
      <w:pPr>
        <w:rPr>
          <w:rFonts w:hint="default" w:ascii="FreeSerif" w:hAnsi="FreeSerif" w:eastAsia="方正黑体_GBK" w:cs="FreeSerif"/>
          <w:sz w:val="32"/>
          <w:szCs w:val="32"/>
        </w:rPr>
      </w:pPr>
      <w:r>
        <w:rPr>
          <w:rFonts w:hint="default" w:ascii="FreeSerif" w:hAnsi="FreeSerif" w:eastAsia="方正黑体_GBK" w:cs="FreeSerif"/>
          <w:sz w:val="32"/>
          <w:szCs w:val="32"/>
        </w:rPr>
        <w:br w:type="page"/>
      </w:r>
    </w:p>
    <w:p>
      <w:pPr>
        <w:keepNext w:val="0"/>
        <w:keepLines w:val="0"/>
        <w:pageBreakBefore w:val="0"/>
        <w:widowControl w:val="0"/>
        <w:kinsoku/>
        <w:wordWrap/>
        <w:overflowPunct w:val="0"/>
        <w:topLinePunct w:val="0"/>
        <w:autoSpaceDE/>
        <w:autoSpaceDN/>
        <w:bidi w:val="0"/>
        <w:adjustRightInd/>
        <w:snapToGrid/>
        <w:spacing w:line="578" w:lineRule="exact"/>
        <w:jc w:val="center"/>
        <w:textAlignment w:val="auto"/>
        <w:outlineLvl w:val="0"/>
        <w:rPr>
          <w:rFonts w:hint="default" w:ascii="FreeSerif" w:hAnsi="FreeSerif" w:eastAsia="方正黑体_GBK" w:cs="FreeSerif"/>
          <w:sz w:val="32"/>
          <w:szCs w:val="32"/>
        </w:rPr>
      </w:pPr>
      <w:bookmarkStart w:id="29" w:name="_Toc267253746"/>
      <w:r>
        <w:rPr>
          <w:rFonts w:hint="default" w:ascii="FreeSerif" w:hAnsi="FreeSerif" w:eastAsia="方正黑体_GBK" w:cs="FreeSerif"/>
          <w:sz w:val="32"/>
          <w:szCs w:val="32"/>
        </w:rPr>
        <w:t>第</w:t>
      </w:r>
      <w:r>
        <w:rPr>
          <w:rFonts w:hint="default" w:ascii="FreeSerif" w:hAnsi="FreeSerif" w:eastAsia="方正黑体_GBK" w:cs="FreeSerif"/>
          <w:sz w:val="32"/>
          <w:szCs w:val="32"/>
          <w:lang w:eastAsia="zh-CN"/>
        </w:rPr>
        <w:t>二</w:t>
      </w:r>
      <w:r>
        <w:rPr>
          <w:rFonts w:hint="default" w:ascii="FreeSerif" w:hAnsi="FreeSerif" w:eastAsia="方正黑体_GBK" w:cs="FreeSerif"/>
          <w:sz w:val="32"/>
          <w:szCs w:val="32"/>
        </w:rPr>
        <w:t>章 白城市社会经济和危险货物道路运输企业现状分析</w:t>
      </w:r>
      <w:bookmarkEnd w:id="29"/>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30" w:name="_Toc1193318807"/>
      <w:r>
        <w:rPr>
          <w:rFonts w:hint="default" w:ascii="FreeSerif" w:hAnsi="FreeSerif" w:eastAsia="方正楷体_GBK" w:cs="FreeSerif"/>
          <w:sz w:val="32"/>
          <w:szCs w:val="32"/>
        </w:rPr>
        <w:t>2.1白城市概况</w:t>
      </w:r>
      <w:bookmarkEnd w:id="30"/>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白城市位于</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"https://baike.so.com/doc/2563913-2707673.html"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吉林省</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西北部，</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"https://baike.so.com/doc/9675353-10021446.html"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嫩江平原</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西部，科尔沁草原东部。地理坐标为东经121度38秒至124度22分，北纬44度13分57秒至46度18分。东南与吉林省</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"https://baike.so.com/doc/5334857-5570295.html"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松原</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市的</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"https://baike.so.com/doc/6453243-6666928.html"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前郭尔罗斯蒙古族自治县</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"https://baike.so.com/doc/5366141-5601846.html"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乾安县</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接壤，南与吉林省松原市的</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"https://baike.so.com/doc/5609464-5822073.html"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长岭县</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毗邻，西北与内蒙古自治区的科尔沁右翼中旗、</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"https://baike.so.com/doc/5568102-5783261.html"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突泉县</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w:t>
      </w:r>
      <w:r>
        <w:rPr>
          <w:rFonts w:hint="default" w:ascii="FreeSerif" w:hAnsi="FreeSerif" w:eastAsia="方正仿宋_GBK" w:cs="FreeSerif"/>
          <w:sz w:val="32"/>
          <w:szCs w:val="32"/>
        </w:rPr>
        <w:fldChar w:fldCharType="begin"/>
      </w:r>
      <w:r>
        <w:rPr>
          <w:rFonts w:hint="default" w:ascii="FreeSerif" w:hAnsi="FreeSerif" w:eastAsia="方正仿宋_GBK" w:cs="FreeSerif"/>
          <w:sz w:val="32"/>
          <w:szCs w:val="32"/>
        </w:rPr>
        <w:instrText xml:space="preserve"> HYPERLINK "https://baike.so.com/doc/5568116-5783275.html" \t "https://baike.so.com/doc/_blank" </w:instrText>
      </w:r>
      <w:r>
        <w:rPr>
          <w:rFonts w:hint="default" w:ascii="FreeSerif" w:hAnsi="FreeSerif" w:eastAsia="方正仿宋_GBK" w:cs="FreeSerif"/>
          <w:sz w:val="32"/>
          <w:szCs w:val="32"/>
        </w:rPr>
        <w:fldChar w:fldCharType="separate"/>
      </w:r>
      <w:r>
        <w:rPr>
          <w:rFonts w:hint="default" w:ascii="FreeSerif" w:hAnsi="FreeSerif" w:eastAsia="方正仿宋_GBK" w:cs="FreeSerif"/>
          <w:sz w:val="32"/>
          <w:szCs w:val="32"/>
        </w:rPr>
        <w:t>科尔沁右翼前旗</w:t>
      </w:r>
      <w:r>
        <w:rPr>
          <w:rFonts w:hint="default" w:ascii="FreeSerif" w:hAnsi="FreeSerif" w:eastAsia="方正仿宋_GBK" w:cs="FreeSerif"/>
          <w:sz w:val="32"/>
          <w:szCs w:val="32"/>
        </w:rPr>
        <w:fldChar w:fldCharType="end"/>
      </w:r>
      <w:r>
        <w:rPr>
          <w:rFonts w:hint="default" w:ascii="FreeSerif" w:hAnsi="FreeSerif" w:eastAsia="方正仿宋_GBK" w:cs="FreeSerif"/>
          <w:sz w:val="32"/>
          <w:szCs w:val="32"/>
        </w:rPr>
        <w:t>相连，东北与黑龙江省泰来县、杜尔伯特蒙古族自治县、肇源县隔江相望。白城市地理位置图见图2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1。全市总面积2.6万平方公里，总人口155.1万人。现辖洮北区、通榆县、镇赉县、洮南市、大安市5个县（市、区）和1个省级开发区。</w:t>
      </w:r>
    </w:p>
    <w:p>
      <w:pPr>
        <w:jc w:val="center"/>
        <w:rPr>
          <w:rFonts w:hint="default" w:ascii="FreeSerif" w:hAnsi="FreeSerif" w:eastAsia="仿宋_GB2312" w:cs="FreeSerif"/>
          <w:sz w:val="28"/>
          <w:szCs w:val="28"/>
        </w:rPr>
      </w:pPr>
      <w:r>
        <w:rPr>
          <w:rFonts w:hint="default" w:ascii="FreeSerif" w:hAnsi="FreeSerif" w:eastAsia="仿宋_GB2312" w:cs="FreeSerif"/>
          <w:sz w:val="28"/>
          <w:szCs w:val="28"/>
        </w:rPr>
        <w:drawing>
          <wp:inline distT="0" distB="0" distL="114300" distR="114300">
            <wp:extent cx="3639185" cy="3249930"/>
            <wp:effectExtent l="0" t="0" r="18415" b="7620"/>
            <wp:docPr id="5" name="图片 5" descr="31e8b27d5238412434df77e76cde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e8b27d5238412434df77e76cde38e"/>
                    <pic:cNvPicPr>
                      <a:picLocks noChangeAspect="1"/>
                    </pic:cNvPicPr>
                  </pic:nvPicPr>
                  <pic:blipFill>
                    <a:blip r:embed="rId7"/>
                    <a:stretch>
                      <a:fillRect/>
                    </a:stretch>
                  </pic:blipFill>
                  <pic:spPr>
                    <a:xfrm>
                      <a:off x="0" y="0"/>
                      <a:ext cx="3639185" cy="3249930"/>
                    </a:xfrm>
                    <a:prstGeom prst="rect">
                      <a:avLst/>
                    </a:prstGeom>
                  </pic:spPr>
                </pic:pic>
              </a:graphicData>
            </a:graphic>
          </wp:inline>
        </w:drawing>
      </w:r>
    </w:p>
    <w:p>
      <w:pPr>
        <w:jc w:val="center"/>
        <w:rPr>
          <w:rFonts w:hint="default" w:ascii="FreeSerif" w:hAnsi="FreeSerif" w:eastAsia="方正楷体_GBK" w:cs="FreeSerif"/>
          <w:sz w:val="24"/>
          <w:szCs w:val="24"/>
        </w:rPr>
      </w:pPr>
      <w:r>
        <w:rPr>
          <w:rFonts w:hint="default" w:ascii="FreeSerif" w:hAnsi="FreeSerif" w:eastAsia="方正楷体_GBK" w:cs="FreeSerif"/>
          <w:sz w:val="24"/>
          <w:szCs w:val="24"/>
        </w:rPr>
        <w:t>图2</w:t>
      </w:r>
      <w:r>
        <w:rPr>
          <w:rFonts w:hint="default" w:ascii="FreeSerif" w:hAnsi="FreeSerif" w:eastAsia="方正楷体_GBK" w:cs="FreeSerif"/>
          <w:sz w:val="24"/>
          <w:szCs w:val="24"/>
          <w:lang w:val="en-US"/>
        </w:rPr>
        <w:t>－</w:t>
      </w:r>
      <w:r>
        <w:rPr>
          <w:rFonts w:hint="default" w:ascii="FreeSerif" w:hAnsi="FreeSerif" w:eastAsia="方正楷体_GBK" w:cs="FreeSerif"/>
          <w:sz w:val="24"/>
          <w:szCs w:val="24"/>
        </w:rPr>
        <w:t>1 白城市地理位置图</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 xml:space="preserve">白城市由西北向东南依次为低山、丘陵、平原，西南略有抬升。有比较丰富的风力资源和石油、天然气、煤、石灰石等20多种矿产资源，现已开发利用的矿产资源有石油、天然气、煤、矿泉水和建筑用砂、石、粘土7种。白城市属大陆季风性气候，辖区内风能资源开发潜力巨大。同时白城市也是一座以生态环境而著称于世的城市，拥有美丽的生态风光、奇特的人文景观、富饶的自然资源，是吉林西北部一颗璀璨的明珠。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近年来，白城市深入践行习近平生态文明思想，构建全方位、立体式大生态格局，生态环境实现系统改善，重现河湖互济、草茂粮丰、渔兴牧旺、人水和谐的生态美景，实现了从“风沙之城”到“鱼米之乡”的巨变。荣获“全国水生态文明城市”“全国绿化模范城市”和“十年绿化美化吉林大地先进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白城市融合发展经济与生态，以生态理念谋划三次产业发展，探索出生态与经济融合发展新路径，形成绿色引领、特色鲜明、三产融合的产业体系，呈现出大项目支撑大产业、大企业引领大发展的强劲势头。启动</w:t>
      </w:r>
      <w:r>
        <w:rPr>
          <w:rFonts w:hint="eastAsia" w:ascii="方正仿宋_GBK" w:hAnsi="方正仿宋_GBK" w:eastAsia="方正仿宋_GBK" w:cs="方正仿宋_GBK"/>
          <w:sz w:val="32"/>
          <w:szCs w:val="32"/>
        </w:rPr>
        <w:t>“陆上风光三峡”工</w:t>
      </w:r>
      <w:r>
        <w:rPr>
          <w:rFonts w:hint="default" w:ascii="FreeSerif" w:hAnsi="FreeSerif" w:eastAsia="方正仿宋_GBK" w:cs="FreeSerif"/>
          <w:sz w:val="32"/>
          <w:szCs w:val="32"/>
        </w:rPr>
        <w:t>程，建成总规模100万千瓦的光伏领跑者基地，实施风电平价上网、鲁固直流风电外送等项目。强力推进三一重工、东方电气、远景风机等制造项目，实现新能源装备全配套本地化。同时突出龙头带动抓农业，构建梅花玉米、牧原生猪、吉运肉牛、飞鹤乳品特色农业全产业链，成为全省现代农业产业集群重要承载地。</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根据《吉林省白城市化工园区总体规划（2020</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2035年）》，吉林省白城市化工园区可充分发挥政策优势和交通便利优势，有效利用土地，适应产业项目的综合开发与建设的需要，尊重自然基础，建设成为布局合理、设施齐全、交通便捷的现代化、生态型、科学发展示范园区。园区依托区域资源优势及吉林梅花氨基酸有限责任公司</w:t>
      </w:r>
      <w:r>
        <w:rPr>
          <w:rFonts w:hint="default" w:ascii="FreeSerif" w:hAnsi="FreeSerif" w:eastAsia="仿宋" w:cs="FreeSerif"/>
          <w:sz w:val="32"/>
          <w:szCs w:val="32"/>
        </w:rPr>
        <w:t>—</w:t>
      </w:r>
      <w:r>
        <w:rPr>
          <w:rFonts w:hint="default" w:ascii="FreeSerif" w:hAnsi="FreeSerif" w:eastAsia="方正仿宋_GBK" w:cs="FreeSerif"/>
          <w:sz w:val="32"/>
          <w:szCs w:val="32"/>
        </w:rPr>
        <w:t>全球最大的赖氨酸生产基地发展赖氨酸化工特色产业，同时发展氢能产业、精细化工、新材料化工等化工产业，并建立区域内生物化工创新发展示范区。</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白城绿电产业示范园区是为响应国家“双碳”号召，贯彻落实省“一主六双”高质量发</w:t>
      </w:r>
      <w:r>
        <w:rPr>
          <w:rFonts w:hint="default" w:ascii="FreeSerif" w:hAnsi="FreeSerif" w:eastAsia="方正仿宋_GBK" w:cs="FreeSerif"/>
          <w:sz w:val="32"/>
          <w:szCs w:val="32"/>
        </w:rPr>
        <w:t>展战略、市</w:t>
      </w:r>
      <w:r>
        <w:rPr>
          <w:rFonts w:hint="eastAsia" w:ascii="方正仿宋_GBK" w:hAnsi="方正仿宋_GBK" w:eastAsia="方正仿宋_GBK" w:cs="方正仿宋_GBK"/>
          <w:sz w:val="32"/>
          <w:szCs w:val="32"/>
        </w:rPr>
        <w:t>“一城三区”建设</w:t>
      </w:r>
      <w:r>
        <w:rPr>
          <w:rFonts w:hint="default" w:ascii="FreeSerif" w:hAnsi="FreeSerif" w:eastAsia="方正仿宋_GBK" w:cs="FreeSerif"/>
          <w:sz w:val="32"/>
          <w:szCs w:val="32"/>
        </w:rPr>
        <w:t>目标，经省能源局批准成立的示范园区。园区以洮北经开区为核心，打造绿色新材料、绿色冶金、绿色装备制造、绿色大数据、绿色食品及医药健康、绿色氢能、绿色化工七个特色产业板块。到2030年，逐步建成产值千亿、税收百亿的大型园区。</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洮南化工产业园区绿氢、绿氨项目近年计划投资14亿元，占地24万平方米。配套建设40套碱性电解槽制取绿氢3万吨/年；采用低压合成工艺生产绿氨18万吨/年，同时副产液氧30.8万吨/年。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应“一主六双”产业空间布局专项规划要求，大安市依托风力发电和太阳能发电的电力</w:t>
      </w:r>
      <w:r>
        <w:rPr>
          <w:rFonts w:hint="default" w:ascii="FreeSerif" w:hAnsi="FreeSerif" w:eastAsia="方正仿宋_GBK" w:cs="FreeSerif"/>
          <w:sz w:val="32"/>
          <w:szCs w:val="32"/>
        </w:rPr>
        <w:t>资源优势，开展水电解制氢能源产业；依托农业的资源优势，开展生物化工产业的产品项目，打造国内一流生物化工产业园；利用现有或未来大安化工基础，引入先进技术，向精细化工方向发展；依托现有石油及相关产业基础，大力开发具有国际领先水平的环保及新材料化工产业相关项目。</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2021年9月，吉林西部（大安）清洁能源化工产业园产业发展定位明确为</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吉林省西部以氢能源生产及利用为特色的清洁能源化工产业园，兼具生物化工、精细化工和环保及新材料化工等化工产业聚集区；其利用风能发电优势，形成吉林省西部以氢能源生产及利用为特色的清洁能源化工产业园</w:t>
      </w:r>
      <w:r>
        <w:rPr>
          <w:rFonts w:hint="eastAsia" w:ascii="方正仿宋_GBK" w:hAnsi="方正仿宋_GBK" w:eastAsia="方正仿宋_GBK" w:cs="方正仿宋_GBK"/>
          <w:sz w:val="32"/>
          <w:szCs w:val="32"/>
        </w:rPr>
        <w:t>，打造“中国北方氢谷”。白城市大力推动氢能产业发展，是全省唯一出台</w:t>
      </w:r>
      <w:r>
        <w:rPr>
          <w:rFonts w:hint="default" w:ascii="FreeSerif" w:hAnsi="FreeSerif" w:eastAsia="方正仿宋_GBK" w:cs="FreeSerif"/>
          <w:sz w:val="32"/>
          <w:szCs w:val="32"/>
        </w:rPr>
        <w:t>氢能发展规划的城市、东北第一个氢燃料电池公交线路示范运营的城市、全国第一个成立氢能产业联盟的城市、全国第一个开展新能源制氢加氢一体化示范的城市。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随着“一主六双”高质量发展战略的全面落实和“一城三区”的</w:t>
      </w:r>
      <w:r>
        <w:rPr>
          <w:rFonts w:hint="default" w:ascii="FreeSerif" w:hAnsi="FreeSerif" w:eastAsia="方正仿宋_GBK" w:cs="FreeSerif"/>
          <w:sz w:val="32"/>
          <w:szCs w:val="32"/>
        </w:rPr>
        <w:t>持续建设，白城市将发展为新时代生态白城、实力白城、美丽白城、幸福白城。</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31" w:name="_Toc785712778"/>
      <w:r>
        <w:rPr>
          <w:rFonts w:hint="default" w:ascii="FreeSerif" w:hAnsi="FreeSerif" w:eastAsia="方正楷体_GBK" w:cs="FreeSerif"/>
          <w:sz w:val="32"/>
          <w:szCs w:val="32"/>
        </w:rPr>
        <w:t>2.2社会经济现状</w:t>
      </w:r>
      <w:bookmarkEnd w:id="31"/>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32" w:name="_Toc85706117"/>
      <w:r>
        <w:rPr>
          <w:rFonts w:hint="default" w:ascii="FreeSerif" w:hAnsi="FreeSerif" w:eastAsia="方正仿宋_GBK" w:cs="FreeSerif"/>
          <w:sz w:val="32"/>
          <w:szCs w:val="32"/>
          <w:lang w:val="en-US" w:eastAsia="zh-CN"/>
        </w:rPr>
        <w:t>2.2.1</w:t>
      </w:r>
      <w:r>
        <w:rPr>
          <w:rFonts w:hint="default" w:ascii="FreeSerif" w:hAnsi="FreeSerif" w:eastAsia="方正仿宋_GBK" w:cs="FreeSerif"/>
          <w:sz w:val="32"/>
          <w:szCs w:val="32"/>
        </w:rPr>
        <w:t>人口与就业</w:t>
      </w:r>
      <w:bookmarkEnd w:id="3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中国</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吉林省第七次全国人口普查公报白城市常住人口为1551378人，与2010年第六次全国人口普查相比，减少480978人，10年间减少23.67%，年平均减少为2.66%。2021全年城镇新增就业17053人。全市农村劳动力转移就业253701人。</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33" w:name="_Toc85706118"/>
      <w:r>
        <w:rPr>
          <w:rFonts w:hint="default" w:ascii="FreeSerif" w:hAnsi="FreeSerif" w:eastAsia="方正仿宋_GBK" w:cs="FreeSerif"/>
          <w:sz w:val="32"/>
          <w:szCs w:val="32"/>
          <w:lang w:val="en-US" w:eastAsia="zh-CN"/>
        </w:rPr>
        <w:t>2.2.2</w:t>
      </w:r>
      <w:r>
        <w:rPr>
          <w:rFonts w:hint="default" w:ascii="FreeSerif" w:hAnsi="FreeSerif" w:eastAsia="方正仿宋_GBK" w:cs="FreeSerif"/>
          <w:sz w:val="32"/>
          <w:szCs w:val="32"/>
        </w:rPr>
        <w:t>国民经济与人民生活水平</w:t>
      </w:r>
      <w:bookmarkEnd w:id="3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 xml:space="preserve">2021年，白城市全市实现地区生产总值（GDP）548.83亿元，同比增长7.8%。城乡居民收入稳步提高，全年全市城镇常住居民人均可支配收入26668元，比上年增长4.0%；全市农村常住居民人均可支配收入12205元，比上年增长8.8%。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34" w:name="_Toc85706119"/>
      <w:r>
        <w:rPr>
          <w:rFonts w:hint="default" w:ascii="FreeSerif" w:hAnsi="FreeSerif" w:eastAsia="方正仿宋_GBK" w:cs="FreeSerif"/>
          <w:sz w:val="32"/>
          <w:szCs w:val="32"/>
          <w:lang w:val="en-US" w:eastAsia="zh-CN"/>
        </w:rPr>
        <w:t>2.2.3</w:t>
      </w:r>
      <w:r>
        <w:rPr>
          <w:rFonts w:hint="default" w:ascii="FreeSerif" w:hAnsi="FreeSerif" w:eastAsia="方正仿宋_GBK" w:cs="FreeSerif"/>
          <w:sz w:val="32"/>
          <w:szCs w:val="32"/>
        </w:rPr>
        <w:t>交通</w:t>
      </w:r>
      <w:bookmarkEnd w:id="34"/>
      <w:r>
        <w:rPr>
          <w:rFonts w:hint="default" w:ascii="FreeSerif" w:hAnsi="FreeSerif" w:eastAsia="方正仿宋_GBK" w:cs="FreeSerif"/>
          <w:sz w:val="32"/>
          <w:szCs w:val="32"/>
        </w:rPr>
        <w:t>运输</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2021年全市普通公路通车总里程达到12268.21公里。其中一级公路128.91公里，二级公路933.13公里，三级公路1965.98公里，四级公路8989公里，等外公路251.19公里。高速公路达到526.6公里。全年全市货物运输量607万吨，公路货运周转量206322 万吨/公里,公路客运量626万人，公路客运周转量46050万人/公里。2021年</w:t>
      </w:r>
      <w:r>
        <w:rPr>
          <w:rFonts w:hint="default" w:ascii="FreeSerif" w:hAnsi="FreeSerif" w:eastAsia="方正仿宋_GBK" w:cs="FreeSerif"/>
          <w:sz w:val="32"/>
          <w:szCs w:val="32"/>
          <w:lang w:val="en"/>
        </w:rPr>
        <w:t>年</w:t>
      </w:r>
      <w:r>
        <w:rPr>
          <w:rFonts w:hint="default" w:ascii="FreeSerif" w:hAnsi="FreeSerif" w:eastAsia="方正仿宋_GBK" w:cs="FreeSerif"/>
          <w:sz w:val="32"/>
          <w:szCs w:val="32"/>
        </w:rPr>
        <w:t xml:space="preserve">末全市民用汽车保有量达到32.22万辆，比上年增长5.4%。其中，载客汽车28.20万辆，增长5.1%；载货汽车4.02万辆，增长10.7%。 </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35" w:name="_Toc1396268652"/>
      <w:bookmarkStart w:id="36" w:name="_Hlk71815289"/>
      <w:r>
        <w:rPr>
          <w:rFonts w:hint="default" w:ascii="FreeSerif" w:hAnsi="FreeSerif" w:eastAsia="方正楷体_GBK" w:cs="FreeSerif"/>
          <w:sz w:val="32"/>
          <w:szCs w:val="32"/>
        </w:rPr>
        <w:t>2.3危险货物道路运输企业统计分析</w:t>
      </w:r>
      <w:bookmarkEnd w:id="35"/>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根据调查，白城市从事危险货物道路运输的经营业户共计9家，在此根据各行政区企业分布、各经营性类别企业情况和企业经营情况等进行分类统计分析。</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37" w:name="_Toc71998602"/>
      <w:bookmarkStart w:id="38" w:name="_Toc86007942"/>
      <w:bookmarkStart w:id="39" w:name="_Toc86007805"/>
      <w:r>
        <w:rPr>
          <w:rFonts w:hint="default" w:ascii="FreeSerif" w:hAnsi="FreeSerif" w:eastAsia="方正仿宋_GBK" w:cs="FreeSerif"/>
          <w:sz w:val="32"/>
          <w:szCs w:val="32"/>
        </w:rPr>
        <w:t>2.3.1 各行政区企业分布情况</w:t>
      </w:r>
      <w:bookmarkEnd w:id="37"/>
      <w:bookmarkEnd w:id="38"/>
      <w:bookmarkEnd w:id="39"/>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白城市行政区划分情况见图2－2。</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白城市各行政区内的危险货物道路运输企业分布情况见表2－1，</w:t>
      </w:r>
      <w:bookmarkStart w:id="40" w:name="_Hlk86686899"/>
      <w:r>
        <w:rPr>
          <w:rFonts w:hint="default" w:ascii="FreeSerif" w:hAnsi="FreeSerif" w:eastAsia="方正仿宋_GBK" w:cs="FreeSerif"/>
          <w:sz w:val="32"/>
          <w:szCs w:val="32"/>
        </w:rPr>
        <w:t>各县（市、区）行政区企业数量的占比情况见图2－3。</w:t>
      </w:r>
      <w:bookmarkEnd w:id="40"/>
    </w:p>
    <w:p>
      <w:pPr>
        <w:keepNext w:val="0"/>
        <w:keepLines w:val="0"/>
        <w:pageBreakBefore w:val="0"/>
        <w:widowControl w:val="0"/>
        <w:kinsoku/>
        <w:wordWrap/>
        <w:overflowPunct w:val="0"/>
        <w:topLinePunct w:val="0"/>
        <w:autoSpaceDE/>
        <w:autoSpaceDN/>
        <w:bidi w:val="0"/>
        <w:adjustRightInd/>
        <w:snapToGrid/>
        <w:spacing w:line="578" w:lineRule="exact"/>
        <w:ind w:firstLine="2310" w:firstLineChars="1100"/>
        <w:jc w:val="both"/>
        <w:textAlignment w:val="auto"/>
        <w:rPr>
          <w:rFonts w:hint="default" w:ascii="FreeSerif" w:hAnsi="FreeSerif" w:eastAsia="方正黑体_GBK" w:cs="FreeSerif"/>
          <w:sz w:val="21"/>
          <w:szCs w:val="21"/>
        </w:rPr>
      </w:pPr>
      <w:r>
        <w:rPr>
          <w:rFonts w:hint="default" w:ascii="FreeSerif" w:hAnsi="FreeSerif" w:eastAsia="方正黑体_GBK" w:cs="FreeSerif"/>
          <w:sz w:val="21"/>
          <w:szCs w:val="21"/>
        </w:rPr>
        <w:t>表2</w:t>
      </w:r>
      <w:r>
        <w:rPr>
          <w:rFonts w:hint="default" w:ascii="FreeSerif" w:hAnsi="FreeSerif" w:eastAsia="方正黑体_GBK" w:cs="FreeSerif"/>
          <w:sz w:val="21"/>
          <w:szCs w:val="21"/>
          <w:lang w:val="en-US"/>
        </w:rPr>
        <w:t>－</w:t>
      </w:r>
      <w:r>
        <w:rPr>
          <w:rFonts w:hint="default" w:ascii="FreeSerif" w:hAnsi="FreeSerif" w:eastAsia="方正黑体_GBK" w:cs="FreeSerif"/>
          <w:sz w:val="21"/>
          <w:szCs w:val="21"/>
        </w:rPr>
        <w:t>1  各行政区危险货物道路运输企业分布表</w:t>
      </w:r>
    </w:p>
    <w:tbl>
      <w:tblPr>
        <w:tblStyle w:val="16"/>
        <w:tblW w:w="0" w:type="auto"/>
        <w:jc w:val="center"/>
        <w:tblLayout w:type="autofit"/>
        <w:tblCellMar>
          <w:top w:w="0" w:type="dxa"/>
          <w:left w:w="108" w:type="dxa"/>
          <w:bottom w:w="0" w:type="dxa"/>
          <w:right w:w="108" w:type="dxa"/>
        </w:tblCellMar>
      </w:tblPr>
      <w:tblGrid>
        <w:gridCol w:w="1656"/>
        <w:gridCol w:w="846"/>
        <w:gridCol w:w="846"/>
        <w:gridCol w:w="846"/>
        <w:gridCol w:w="846"/>
      </w:tblGrid>
      <w:tr>
        <w:tblPrEx>
          <w:tblCellMar>
            <w:top w:w="0" w:type="dxa"/>
            <w:left w:w="108" w:type="dxa"/>
            <w:bottom w:w="0" w:type="dxa"/>
            <w:right w:w="108" w:type="dxa"/>
          </w:tblCellMar>
        </w:tblPrEx>
        <w:trPr>
          <w:trHeight w:val="32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方正黑体_GBK" w:cs="FreeSerif"/>
                <w:b w:val="0"/>
                <w:bCs/>
                <w:szCs w:val="21"/>
              </w:rPr>
            </w:pPr>
            <w:r>
              <w:rPr>
                <w:rFonts w:hint="default" w:ascii="FreeSerif" w:hAnsi="FreeSerif" w:eastAsia="方正黑体_GBK" w:cs="FreeSerif"/>
                <w:b w:val="0"/>
                <w:bCs/>
                <w:szCs w:val="21"/>
              </w:rPr>
              <w:t>行政区</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方正黑体_GBK" w:cs="FreeSerif"/>
                <w:b w:val="0"/>
                <w:bCs/>
                <w:szCs w:val="21"/>
              </w:rPr>
            </w:pPr>
            <w:r>
              <w:rPr>
                <w:rFonts w:hint="default" w:ascii="FreeSerif" w:hAnsi="FreeSerif" w:eastAsia="方正黑体_GBK" w:cs="FreeSerif"/>
                <w:b w:val="0"/>
                <w:bCs/>
                <w:szCs w:val="21"/>
              </w:rPr>
              <w:t>洮北区</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方正黑体_GBK" w:cs="FreeSerif"/>
                <w:b w:val="0"/>
                <w:bCs/>
                <w:szCs w:val="21"/>
              </w:rPr>
            </w:pPr>
            <w:r>
              <w:rPr>
                <w:rFonts w:hint="default" w:ascii="FreeSerif" w:hAnsi="FreeSerif" w:eastAsia="方正黑体_GBK" w:cs="FreeSerif"/>
                <w:b w:val="0"/>
                <w:bCs/>
                <w:szCs w:val="21"/>
              </w:rPr>
              <w:t>洮南市</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方正黑体_GBK" w:cs="FreeSerif"/>
                <w:b w:val="0"/>
                <w:bCs/>
                <w:szCs w:val="21"/>
              </w:rPr>
            </w:pPr>
            <w:r>
              <w:rPr>
                <w:rFonts w:hint="default" w:ascii="FreeSerif" w:hAnsi="FreeSerif" w:eastAsia="方正黑体_GBK" w:cs="FreeSerif"/>
                <w:b w:val="0"/>
                <w:bCs/>
                <w:szCs w:val="21"/>
              </w:rPr>
              <w:t>通榆县</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方正黑体_GBK" w:cs="FreeSerif"/>
                <w:b w:val="0"/>
                <w:bCs/>
                <w:szCs w:val="21"/>
              </w:rPr>
            </w:pPr>
            <w:r>
              <w:rPr>
                <w:rFonts w:hint="default" w:ascii="FreeSerif" w:hAnsi="FreeSerif" w:eastAsia="方正黑体_GBK" w:cs="FreeSerif"/>
                <w:b w:val="0"/>
                <w:bCs/>
                <w:szCs w:val="21"/>
              </w:rPr>
              <w:t>大安市</w:t>
            </w:r>
          </w:p>
        </w:tc>
      </w:tr>
      <w:tr>
        <w:tblPrEx>
          <w:tblCellMar>
            <w:top w:w="0" w:type="dxa"/>
            <w:left w:w="108" w:type="dxa"/>
            <w:bottom w:w="0" w:type="dxa"/>
            <w:right w:w="108" w:type="dxa"/>
          </w:tblCellMar>
        </w:tblPrEx>
        <w:trPr>
          <w:trHeight w:val="32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szCs w:val="21"/>
              </w:rPr>
            </w:pPr>
            <w:r>
              <w:rPr>
                <w:rFonts w:hint="default" w:ascii="FreeSerif" w:hAnsi="FreeSerif" w:eastAsia="仿宋_GB2312" w:cs="FreeSerif"/>
                <w:szCs w:val="21"/>
              </w:rPr>
              <w:t>企业数量</w:t>
            </w:r>
            <w:r>
              <w:rPr>
                <w:rFonts w:hint="default" w:ascii="FreeSerif" w:hAnsi="FreeSerif" w:eastAsia="仿宋_GB2312" w:cs="FreeSerif"/>
                <w:sz w:val="20"/>
                <w:szCs w:val="21"/>
              </w:rPr>
              <w:t>（个）</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color w:val="000000" w:themeColor="text1"/>
                <w:szCs w:val="21"/>
                <w14:textFill>
                  <w14:solidFill>
                    <w14:schemeClr w14:val="tx1"/>
                  </w14:solidFill>
                </w14:textFill>
              </w:rPr>
            </w:pPr>
            <w:r>
              <w:rPr>
                <w:rFonts w:hint="default" w:ascii="FreeSerif" w:hAnsi="FreeSerif" w:eastAsia="仿宋_GB2312" w:cs="FreeSerif"/>
                <w:color w:val="000000" w:themeColor="text1"/>
                <w:szCs w:val="21"/>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color w:val="000000" w:themeColor="text1"/>
                <w:szCs w:val="21"/>
                <w14:textFill>
                  <w14:solidFill>
                    <w14:schemeClr w14:val="tx1"/>
                  </w14:solidFill>
                </w14:textFill>
              </w:rPr>
            </w:pPr>
            <w:r>
              <w:rPr>
                <w:rFonts w:hint="default" w:ascii="FreeSerif" w:hAnsi="FreeSerif" w:eastAsia="仿宋_GB2312" w:cs="FreeSerif"/>
                <w:color w:val="000000" w:themeColor="text1"/>
                <w:szCs w:val="21"/>
                <w14:textFill>
                  <w14:solidFill>
                    <w14:schemeClr w14:val="tx1"/>
                  </w14:solidFill>
                </w14:textFill>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color w:val="000000" w:themeColor="text1"/>
                <w:szCs w:val="21"/>
                <w14:textFill>
                  <w14:solidFill>
                    <w14:schemeClr w14:val="tx1"/>
                  </w14:solidFill>
                </w14:textFill>
              </w:rPr>
            </w:pPr>
            <w:r>
              <w:rPr>
                <w:rFonts w:hint="default" w:ascii="FreeSerif" w:hAnsi="FreeSerif" w:eastAsia="仿宋_GB2312" w:cs="FreeSerif"/>
                <w:color w:val="000000" w:themeColor="text1"/>
                <w:szCs w:val="21"/>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color w:val="000000" w:themeColor="text1"/>
                <w:szCs w:val="21"/>
                <w14:textFill>
                  <w14:solidFill>
                    <w14:schemeClr w14:val="tx1"/>
                  </w14:solidFill>
                </w14:textFill>
              </w:rPr>
            </w:pPr>
            <w:r>
              <w:rPr>
                <w:rFonts w:hint="default" w:ascii="FreeSerif" w:hAnsi="FreeSerif" w:eastAsia="仿宋_GB2312" w:cs="FreeSerif"/>
                <w:color w:val="000000" w:themeColor="text1"/>
                <w:szCs w:val="21"/>
                <w14:textFill>
                  <w14:solidFill>
                    <w14:schemeClr w14:val="tx1"/>
                  </w14:solidFill>
                </w14:textFill>
              </w:rPr>
              <w:t>1</w:t>
            </w:r>
          </w:p>
        </w:tc>
      </w:tr>
      <w:tr>
        <w:tblPrEx>
          <w:tblCellMar>
            <w:top w:w="0" w:type="dxa"/>
            <w:left w:w="108" w:type="dxa"/>
            <w:bottom w:w="0" w:type="dxa"/>
            <w:right w:w="108" w:type="dxa"/>
          </w:tblCellMar>
        </w:tblPrEx>
        <w:trPr>
          <w:trHeight w:val="34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szCs w:val="21"/>
              </w:rPr>
            </w:pPr>
            <w:r>
              <w:rPr>
                <w:rFonts w:hint="default" w:ascii="FreeSerif" w:hAnsi="FreeSerif" w:eastAsia="仿宋_GB2312" w:cs="FreeSerif"/>
                <w:szCs w:val="21"/>
              </w:rPr>
              <w:t>合计</w:t>
            </w:r>
          </w:p>
        </w:tc>
        <w:tc>
          <w:tcPr>
            <w:tcW w:w="0" w:type="auto"/>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00" w:lineRule="exact"/>
              <w:jc w:val="center"/>
              <w:textAlignment w:val="auto"/>
              <w:rPr>
                <w:rFonts w:hint="default" w:ascii="FreeSerif" w:hAnsi="FreeSerif" w:eastAsia="仿宋_GB2312" w:cs="FreeSerif"/>
                <w:color w:val="000000" w:themeColor="text1"/>
                <w:szCs w:val="21"/>
                <w14:textFill>
                  <w14:solidFill>
                    <w14:schemeClr w14:val="tx1"/>
                  </w14:solidFill>
                </w14:textFill>
              </w:rPr>
            </w:pPr>
            <w:r>
              <w:rPr>
                <w:rFonts w:hint="default" w:ascii="FreeSerif" w:hAnsi="FreeSerif" w:eastAsia="仿宋_GB2312" w:cs="FreeSerif"/>
                <w:color w:val="000000" w:themeColor="text1"/>
                <w:szCs w:val="21"/>
                <w14:textFill>
                  <w14:solidFill>
                    <w14:schemeClr w14:val="tx1"/>
                  </w14:solidFill>
                </w14:textFill>
              </w:rPr>
              <w:t>10</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由上表可知，白城市危险货物道路运输企业分布存在明显的区域不均衡性，半数以上集中在洮北区，而其他县（市）的企业数量分布较少，个别地区（如镇赉县）甚至没有分布。</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41" w:name="_Toc86007806"/>
      <w:bookmarkStart w:id="42" w:name="_Toc71998603"/>
      <w:bookmarkStart w:id="43" w:name="_Toc86007943"/>
      <w:r>
        <w:rPr>
          <w:rFonts w:hint="default" w:ascii="FreeSerif" w:hAnsi="FreeSerif" w:eastAsia="方正仿宋_GBK" w:cs="FreeSerif"/>
          <w:sz w:val="32"/>
          <w:szCs w:val="32"/>
        </w:rPr>
        <w:t>2.3.2 各经营类别企业情况</w:t>
      </w:r>
      <w:bookmarkEnd w:id="41"/>
      <w:bookmarkEnd w:id="42"/>
      <w:bookmarkEnd w:id="4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企业经营的危险货物道路运输按照经营性质分为经营性危险货物道路运输和非经营性危险货物道路运输两大类。</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根据调查，白城市危险货物道路运输企业全部为经营性危险货物道路运输，各企业所经营的危险货物类别不同，经营相同危险货物道路运输的企业数量见表2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w:t>
      </w:r>
    </w:p>
    <w:p>
      <w:pPr>
        <w:jc w:val="center"/>
        <w:rPr>
          <w:rFonts w:hint="default" w:ascii="FreeSerif" w:hAnsi="FreeSerif" w:eastAsia="仿宋_GB2312" w:cs="FreeSerif"/>
          <w:sz w:val="28"/>
        </w:rPr>
      </w:pPr>
      <w:r>
        <w:rPr>
          <w:rFonts w:hint="default" w:ascii="FreeSerif" w:hAnsi="FreeSerif" w:eastAsia="仿宋_GB2312" w:cs="FreeSerif"/>
          <w:sz w:val="28"/>
        </w:rPr>
        <mc:AlternateContent>
          <mc:Choice Requires="wps">
            <w:drawing>
              <wp:anchor distT="0" distB="0" distL="114300" distR="114300" simplePos="0" relativeHeight="251661312" behindDoc="0" locked="0" layoutInCell="1" allowOverlap="1">
                <wp:simplePos x="0" y="0"/>
                <wp:positionH relativeFrom="column">
                  <wp:posOffset>3095625</wp:posOffset>
                </wp:positionH>
                <wp:positionV relativeFrom="paragraph">
                  <wp:posOffset>1971675</wp:posOffset>
                </wp:positionV>
                <wp:extent cx="1304925" cy="4572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w="9525">
                          <a:noFill/>
                          <a:miter lim="800000"/>
                        </a:ln>
                      </wps:spPr>
                      <wps:txb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镇 赉 县</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43.75pt;margin-top:155.25pt;height:36pt;width:102.75pt;z-index:251661312;mso-width-relative:page;mso-height-relative:page;" filled="f" stroked="f" coordsize="21600,21600" o:gfxdata="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6OPCrYAAAA&#10;CwEAAA8AAAAAAAAAAQAgAAAAIgAAAGRycy9kb3ducmV2LnhtbFBLAQIUABQAAAAIAIdO4kCkPYiY&#10;HQIAACkEAAAOAAAAAAAAAAEAIAAAACcBAABkcnMvZTJvRG9jLnhtbFBLBQYAAAAABgAGAFkBAAC2&#10;BQAAAAA=&#10;">
                <v:fill on="f" focussize="0,0"/>
                <v:stroke on="f" miterlimit="8" joinstyle="miter"/>
                <v:imagedata o:title=""/>
                <o:lock v:ext="edit" aspectratio="f"/>
                <v:textbo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镇 赉 县</w:t>
                      </w:r>
                    </w:p>
                  </w:txbxContent>
                </v:textbox>
              </v:shape>
            </w:pict>
          </mc:Fallback>
        </mc:AlternateContent>
      </w:r>
      <w:r>
        <w:rPr>
          <w:rFonts w:hint="default" w:ascii="FreeSerif" w:hAnsi="FreeSerif" w:eastAsia="仿宋_GB2312" w:cs="FreeSerif"/>
          <w:sz w:val="28"/>
        </w:rPr>
        <mc:AlternateContent>
          <mc:Choice Requires="wps">
            <w:drawing>
              <wp:anchor distT="0" distB="0" distL="114300" distR="114300" simplePos="0" relativeHeight="251663360" behindDoc="0" locked="0" layoutInCell="1" allowOverlap="1">
                <wp:simplePos x="0" y="0"/>
                <wp:positionH relativeFrom="column">
                  <wp:posOffset>1590675</wp:posOffset>
                </wp:positionH>
                <wp:positionV relativeFrom="paragraph">
                  <wp:posOffset>5219700</wp:posOffset>
                </wp:positionV>
                <wp:extent cx="1181100" cy="4572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noFill/>
                        <a:ln w="9525">
                          <a:noFill/>
                          <a:miter lim="800000"/>
                        </a:ln>
                      </wps:spPr>
                      <wps:txb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通 榆 县</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25.25pt;margin-top:411pt;height:36pt;width:93pt;z-index:251663360;mso-width-relative:page;mso-height-relative:page;" filled="f" stroked="f" coordsize="21600,21600" o:gfxdata="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WzTh1wAA&#10;AAsBAAAPAAAAAAAAAAEAIAAAACIAAABkcnMvZG93bnJldi54bWxQSwECFAAUAAAACACHTuJAsd0s&#10;QR8CAAArBAAADgAAAAAAAAABACAAAAAmAQAAZHJzL2Uyb0RvYy54bWxQSwUGAAAAAAYABgBZAQAA&#10;twUAAAAA&#10;">
                <v:fill on="f" focussize="0,0"/>
                <v:stroke on="f" miterlimit="8" joinstyle="miter"/>
                <v:imagedata o:title=""/>
                <o:lock v:ext="edit" aspectratio="f"/>
                <v:textbo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通 榆 县</w:t>
                      </w:r>
                    </w:p>
                  </w:txbxContent>
                </v:textbox>
              </v:shape>
            </w:pict>
          </mc:Fallback>
        </mc:AlternateContent>
      </w:r>
      <w:r>
        <w:rPr>
          <w:rFonts w:hint="default" w:ascii="FreeSerif" w:hAnsi="FreeSerif" w:eastAsia="仿宋_GB2312" w:cs="FreeSerif"/>
          <w:sz w:val="28"/>
        </w:rPr>
        <mc:AlternateContent>
          <mc:Choice Requires="wps">
            <w:drawing>
              <wp:anchor distT="0" distB="0" distL="114300" distR="114300" simplePos="0" relativeHeight="251662336" behindDoc="0" locked="0" layoutInCell="1" allowOverlap="1">
                <wp:simplePos x="0" y="0"/>
                <wp:positionH relativeFrom="column">
                  <wp:posOffset>3533775</wp:posOffset>
                </wp:positionH>
                <wp:positionV relativeFrom="paragraph">
                  <wp:posOffset>3419475</wp:posOffset>
                </wp:positionV>
                <wp:extent cx="1181100" cy="45720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noFill/>
                        <a:ln w="9525">
                          <a:noFill/>
                          <a:miter lim="800000"/>
                        </a:ln>
                      </wps:spPr>
                      <wps:txb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大 安 市</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78.25pt;margin-top:269.25pt;height:36pt;width:93pt;z-index:251662336;mso-width-relative:page;mso-height-relative:page;" filled="f" stroked="f" coordsize="21600,21600" o:gfxdata="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b5+rWAAAA&#10;CwEAAA8AAAAAAAAAAQAgAAAAIgAAAGRycy9kb3ducmV2LnhtbFBLAQIUABQAAAAIAIdO4kCT5p4u&#10;HwIAACsEAAAOAAAAAAAAAAEAIAAAACUBAABkcnMvZTJvRG9jLnhtbFBLBQYAAAAABgAGAFkBAAC2&#10;BQAAAAA=&#10;">
                <v:fill on="f" focussize="0,0"/>
                <v:stroke on="f" miterlimit="8" joinstyle="miter"/>
                <v:imagedata o:title=""/>
                <o:lock v:ext="edit" aspectratio="f"/>
                <v:textbo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大 安 市</w:t>
                      </w:r>
                    </w:p>
                  </w:txbxContent>
                </v:textbox>
              </v:shape>
            </w:pict>
          </mc:Fallback>
        </mc:AlternateContent>
      </w:r>
      <w:r>
        <w:rPr>
          <w:rFonts w:hint="default" w:ascii="FreeSerif" w:hAnsi="FreeSerif" w:eastAsia="仿宋_GB2312" w:cs="FreeSerif"/>
          <w:sz w:val="28"/>
        </w:rPr>
        <mc:AlternateContent>
          <mc:Choice Requires="wps">
            <w:drawing>
              <wp:anchor distT="0" distB="0" distL="114300" distR="114300" simplePos="0" relativeHeight="251660288" behindDoc="0" locked="0" layoutInCell="1" allowOverlap="1">
                <wp:simplePos x="0" y="0"/>
                <wp:positionH relativeFrom="column">
                  <wp:posOffset>1543050</wp:posOffset>
                </wp:positionH>
                <wp:positionV relativeFrom="paragraph">
                  <wp:posOffset>3762375</wp:posOffset>
                </wp:positionV>
                <wp:extent cx="1181100" cy="457200"/>
                <wp:effectExtent l="0" t="0" r="0"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noFill/>
                        <a:ln w="9525">
                          <a:noFill/>
                          <a:miter lim="800000"/>
                        </a:ln>
                      </wps:spPr>
                      <wps:txb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洮 南 市</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1.5pt;margin-top:296.25pt;height:36pt;width:93pt;z-index:251660288;mso-width-relative:page;mso-height-relative:page;" filled="f" stroked="f" coordsize="21600,21600" o:gfxdata="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W1DD2AAA&#10;AAsBAAAPAAAAAAAAAAEAIAAAACIAAABkcnMvZG93bnJldi54bWxQSwECFAAUAAAACACHTuJApAHM&#10;pB4CAAApBAAADgAAAAAAAAABACAAAAAnAQAAZHJzL2Uyb0RvYy54bWxQSwUGAAAAAAYABgBZAQAA&#10;twUAAAAA&#10;">
                <v:fill on="f" focussize="0,0"/>
                <v:stroke on="f" miterlimit="8" joinstyle="miter"/>
                <v:imagedata o:title=""/>
                <o:lock v:ext="edit" aspectratio="f"/>
                <v:textbo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洮 南 市</w:t>
                      </w:r>
                    </w:p>
                  </w:txbxContent>
                </v:textbox>
              </v:shape>
            </w:pict>
          </mc:Fallback>
        </mc:AlternateContent>
      </w:r>
      <w:r>
        <w:rPr>
          <w:rFonts w:hint="default" w:ascii="FreeSerif" w:hAnsi="FreeSerif" w:eastAsia="仿宋_GB2312" w:cs="FreeSerif"/>
          <w:sz w:val="28"/>
        </w:rPr>
        <mc:AlternateContent>
          <mc:Choice Requires="wps">
            <w:drawing>
              <wp:anchor distT="0" distB="0" distL="114300" distR="114300" simplePos="0" relativeHeight="251659264" behindDoc="0" locked="0" layoutInCell="1" allowOverlap="1">
                <wp:simplePos x="0" y="0"/>
                <wp:positionH relativeFrom="column">
                  <wp:posOffset>1971675</wp:posOffset>
                </wp:positionH>
                <wp:positionV relativeFrom="paragraph">
                  <wp:posOffset>2962275</wp:posOffset>
                </wp:positionV>
                <wp:extent cx="1181100" cy="457200"/>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noFill/>
                        <a:ln w="9525">
                          <a:noFill/>
                          <a:miter lim="800000"/>
                        </a:ln>
                      </wps:spPr>
                      <wps:txb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洮 北 区</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5.25pt;margin-top:233.25pt;height:36pt;width:93pt;z-index:251659264;mso-width-relative:page;mso-height-relative:page;" filled="f" stroked="f" coordsize="21600,21600" o:gfxdata="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Ag6PjX&#10;AAAACwEAAA8AAAAAAAAAAQAgAAAAIgAAAGRycy9kb3ducmV2LnhtbFBLAQIUABQAAAAIAIdO4kDJ&#10;+e7CIQIAACsEAAAOAAAAAAAAAAEAIAAAACYBAABkcnMvZTJvRG9jLnhtbFBLBQYAAAAABgAGAFkB&#10;AAC5BQAAAAA=&#10;">
                <v:fill on="f" focussize="0,0"/>
                <v:stroke on="f" miterlimit="8" joinstyle="miter"/>
                <v:imagedata o:title=""/>
                <o:lock v:ext="edit" aspectratio="f"/>
                <v:textbox>
                  <w:txbxContent>
                    <w:p>
                      <w:pPr>
                        <w:rPr>
                          <w:rFonts w:ascii="Adobe 黑体 Std R" w:hAnsi="Adobe 黑体 Std R" w:eastAsia="Adobe 黑体 Std R"/>
                          <w:b/>
                          <w:color w:val="000000" w:themeColor="text1"/>
                          <w:sz w:val="37"/>
                          <w14:textFill>
                            <w14:solidFill>
                              <w14:schemeClr w14:val="tx1"/>
                            </w14:solidFill>
                          </w14:textFill>
                        </w:rPr>
                      </w:pPr>
                      <w:r>
                        <w:rPr>
                          <w:rFonts w:hint="eastAsia" w:ascii="Adobe 黑体 Std R" w:hAnsi="Adobe 黑体 Std R" w:eastAsia="Adobe 黑体 Std R"/>
                          <w:b/>
                          <w:color w:val="000000" w:themeColor="text1"/>
                          <w:sz w:val="37"/>
                          <w14:textFill>
                            <w14:solidFill>
                              <w14:schemeClr w14:val="tx1"/>
                            </w14:solidFill>
                          </w14:textFill>
                        </w:rPr>
                        <w:t>洮 北 区</w:t>
                      </w:r>
                    </w:p>
                  </w:txbxContent>
                </v:textbox>
              </v:shape>
            </w:pict>
          </mc:Fallback>
        </mc:AlternateContent>
      </w:r>
      <w:r>
        <w:rPr>
          <w:rFonts w:hint="default" w:ascii="FreeSerif" w:hAnsi="FreeSerif" w:eastAsia="仿宋_GB2312" w:cs="FreeSerif"/>
          <w:sz w:val="28"/>
        </w:rPr>
        <w:drawing>
          <wp:inline distT="0" distB="0" distL="114300" distR="114300">
            <wp:extent cx="4975225" cy="7193280"/>
            <wp:effectExtent l="0" t="0" r="15875" b="7620"/>
            <wp:docPr id="3" name="图片 3" descr="4a1562e3d16d5906a6dd7e1e6906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1562e3d16d5906a6dd7e1e6906ff4"/>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4975225" cy="7193280"/>
                    </a:xfrm>
                    <a:prstGeom prst="rect">
                      <a:avLst/>
                    </a:prstGeom>
                  </pic:spPr>
                </pic:pic>
              </a:graphicData>
            </a:graphic>
          </wp:inline>
        </w:drawing>
      </w:r>
    </w:p>
    <w:p>
      <w:pPr>
        <w:jc w:val="center"/>
        <w:rPr>
          <w:rFonts w:hint="default" w:ascii="FreeSerif" w:hAnsi="FreeSerif" w:eastAsia="方正楷体_GBK" w:cs="FreeSerif"/>
          <w:color w:val="FF0000"/>
          <w:sz w:val="24"/>
          <w:szCs w:val="24"/>
        </w:rPr>
      </w:pPr>
      <w:r>
        <w:rPr>
          <w:rFonts w:hint="default" w:ascii="FreeSerif" w:hAnsi="FreeSerif" w:eastAsia="方正楷体_GBK" w:cs="FreeSerif"/>
          <w:sz w:val="24"/>
          <w:szCs w:val="24"/>
        </w:rPr>
        <w:t>图2</w:t>
      </w:r>
      <w:r>
        <w:rPr>
          <w:rFonts w:hint="default" w:ascii="FreeSerif" w:hAnsi="FreeSerif" w:eastAsia="方正楷体_GBK" w:cs="FreeSerif"/>
          <w:sz w:val="24"/>
          <w:szCs w:val="24"/>
          <w:lang w:val="en-US"/>
        </w:rPr>
        <w:t>－</w:t>
      </w:r>
      <w:r>
        <w:rPr>
          <w:rFonts w:hint="default" w:ascii="FreeSerif" w:hAnsi="FreeSerif" w:eastAsia="方正楷体_GBK" w:cs="FreeSerif"/>
          <w:sz w:val="24"/>
          <w:szCs w:val="24"/>
        </w:rPr>
        <w:t>2 白</w:t>
      </w:r>
      <w:r>
        <w:rPr>
          <w:rFonts w:hint="default" w:ascii="FreeSerif" w:hAnsi="FreeSerif" w:eastAsia="方正楷体_GBK" w:cs="FreeSerif"/>
          <w:color w:val="000000" w:themeColor="text1"/>
          <w:sz w:val="24"/>
          <w:szCs w:val="24"/>
          <w14:textFill>
            <w14:solidFill>
              <w14:schemeClr w14:val="tx1"/>
            </w14:solidFill>
          </w14:textFill>
        </w:rPr>
        <w:t>城市行政区划分情况</w:t>
      </w:r>
    </w:p>
    <w:p>
      <w:pPr>
        <w:jc w:val="both"/>
        <w:rPr>
          <w:rFonts w:hint="default" w:ascii="FreeSerif" w:hAnsi="FreeSerif" w:eastAsia="黑体" w:cs="FreeSerif"/>
          <w:szCs w:val="21"/>
        </w:rPr>
      </w:pPr>
      <w:r>
        <w:rPr>
          <w:rFonts w:hint="default" w:ascii="FreeSerif" w:hAnsi="FreeSerif" w:cs="FreeSerif"/>
        </w:rPr>
        <w:drawing>
          <wp:anchor distT="0" distB="0" distL="114300" distR="114300" simplePos="0" relativeHeight="251664384" behindDoc="0" locked="0" layoutInCell="1" allowOverlap="1">
            <wp:simplePos x="0" y="0"/>
            <wp:positionH relativeFrom="column">
              <wp:posOffset>80645</wp:posOffset>
            </wp:positionH>
            <wp:positionV relativeFrom="paragraph">
              <wp:posOffset>10160</wp:posOffset>
            </wp:positionV>
            <wp:extent cx="5419725" cy="2743200"/>
            <wp:effectExtent l="4445" t="4445" r="5080" b="14605"/>
            <wp:wrapSquare wrapText="bothSides"/>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after="100" w:afterAutospacing="1"/>
        <w:jc w:val="center"/>
        <w:rPr>
          <w:rFonts w:hint="default" w:ascii="FreeSerif" w:hAnsi="FreeSerif" w:eastAsia="方正楷体_GBK" w:cs="FreeSerif"/>
          <w:sz w:val="24"/>
          <w:szCs w:val="24"/>
        </w:rPr>
      </w:pPr>
      <w:bookmarkStart w:id="44" w:name="_Hlk86686818"/>
      <w:r>
        <w:rPr>
          <w:rFonts w:hint="default" w:ascii="FreeSerif" w:hAnsi="FreeSerif" w:eastAsia="方正楷体_GBK" w:cs="FreeSerif"/>
          <w:sz w:val="24"/>
          <w:szCs w:val="24"/>
        </w:rPr>
        <w:t>图2</w:t>
      </w:r>
      <w:r>
        <w:rPr>
          <w:rFonts w:hint="default" w:ascii="FreeSerif" w:hAnsi="FreeSerif" w:eastAsia="方正楷体_GBK" w:cs="FreeSerif"/>
          <w:sz w:val="24"/>
          <w:szCs w:val="24"/>
          <w:lang w:val="en-US"/>
        </w:rPr>
        <w:t>－</w:t>
      </w:r>
      <w:r>
        <w:rPr>
          <w:rFonts w:hint="default" w:ascii="FreeSerif" w:hAnsi="FreeSerif" w:eastAsia="方正楷体_GBK" w:cs="FreeSerif"/>
          <w:sz w:val="24"/>
          <w:szCs w:val="24"/>
        </w:rPr>
        <w:t>3 各行政区企业数量占比</w:t>
      </w:r>
    </w:p>
    <w:bookmarkEnd w:id="44"/>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表2</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 经营相同危险货物类别的企业数量</w:t>
      </w:r>
    </w:p>
    <w:tbl>
      <w:tblPr>
        <w:tblStyle w:val="16"/>
        <w:tblpPr w:leftFromText="180" w:rightFromText="180" w:vertAnchor="text" w:tblpXSpec="center" w:tblpY="1"/>
        <w:tblOverlap w:val="never"/>
        <w:tblW w:w="4796" w:type="pct"/>
        <w:tblInd w:w="0" w:type="dxa"/>
        <w:tblLayout w:type="autofit"/>
        <w:tblCellMar>
          <w:top w:w="0" w:type="dxa"/>
          <w:left w:w="108" w:type="dxa"/>
          <w:bottom w:w="0" w:type="dxa"/>
          <w:right w:w="108" w:type="dxa"/>
        </w:tblCellMar>
      </w:tblPr>
      <w:tblGrid>
        <w:gridCol w:w="6726"/>
        <w:gridCol w:w="1964"/>
      </w:tblGrid>
      <w:tr>
        <w:tblPrEx>
          <w:tblCellMar>
            <w:top w:w="0" w:type="dxa"/>
            <w:left w:w="108" w:type="dxa"/>
            <w:bottom w:w="0" w:type="dxa"/>
            <w:right w:w="108" w:type="dxa"/>
          </w:tblCellMar>
        </w:tblPrEx>
        <w:trPr>
          <w:trHeight w:val="445" w:hRule="atLeast"/>
        </w:trPr>
        <w:tc>
          <w:tcPr>
            <w:tcW w:w="6328" w:type="dxa"/>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运输危险货物类别</w:t>
            </w:r>
          </w:p>
        </w:tc>
        <w:tc>
          <w:tcPr>
            <w:tcW w:w="1848" w:type="dxa"/>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企业数量</w:t>
            </w:r>
            <w:r>
              <w:rPr>
                <w:rFonts w:hint="default" w:ascii="FreeSerif" w:hAnsi="FreeSerif" w:eastAsia="方正黑体_GBK" w:cs="FreeSerif"/>
                <w:b w:val="0"/>
                <w:bCs/>
                <w:color w:val="000000" w:themeColor="text1"/>
                <w:sz w:val="20"/>
                <w:szCs w:val="21"/>
                <w14:textFill>
                  <w14:solidFill>
                    <w14:schemeClr w14:val="tx1"/>
                  </w14:solidFill>
                </w14:textFill>
              </w:rPr>
              <w:t>（个）</w:t>
            </w:r>
          </w:p>
        </w:tc>
      </w:tr>
      <w:tr>
        <w:tblPrEx>
          <w:tblCellMar>
            <w:top w:w="0" w:type="dxa"/>
            <w:left w:w="108" w:type="dxa"/>
            <w:bottom w:w="0" w:type="dxa"/>
            <w:right w:w="108" w:type="dxa"/>
          </w:tblCellMar>
        </w:tblPrEx>
        <w:trPr>
          <w:trHeight w:val="417" w:hRule="atLeast"/>
        </w:trPr>
        <w:tc>
          <w:tcPr>
            <w:tcW w:w="632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2类1项</w:t>
            </w:r>
          </w:p>
        </w:tc>
        <w:tc>
          <w:tcPr>
            <w:tcW w:w="184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5</w:t>
            </w:r>
          </w:p>
        </w:tc>
      </w:tr>
      <w:tr>
        <w:tblPrEx>
          <w:tblCellMar>
            <w:top w:w="0" w:type="dxa"/>
            <w:left w:w="108" w:type="dxa"/>
            <w:bottom w:w="0" w:type="dxa"/>
            <w:right w:w="108" w:type="dxa"/>
          </w:tblCellMar>
        </w:tblPrEx>
        <w:trPr>
          <w:trHeight w:val="417" w:hRule="atLeast"/>
        </w:trPr>
        <w:tc>
          <w:tcPr>
            <w:tcW w:w="632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2类2项</w:t>
            </w:r>
          </w:p>
        </w:tc>
        <w:tc>
          <w:tcPr>
            <w:tcW w:w="184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417" w:hRule="atLeast"/>
        </w:trPr>
        <w:tc>
          <w:tcPr>
            <w:tcW w:w="632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2类1项、3类</w:t>
            </w:r>
          </w:p>
        </w:tc>
        <w:tc>
          <w:tcPr>
            <w:tcW w:w="184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2</w:t>
            </w:r>
          </w:p>
        </w:tc>
      </w:tr>
      <w:tr>
        <w:tblPrEx>
          <w:tblCellMar>
            <w:top w:w="0" w:type="dxa"/>
            <w:left w:w="108" w:type="dxa"/>
            <w:bottom w:w="0" w:type="dxa"/>
            <w:right w:w="108" w:type="dxa"/>
          </w:tblCellMar>
        </w:tblPrEx>
        <w:trPr>
          <w:trHeight w:val="417" w:hRule="atLeast"/>
        </w:trPr>
        <w:tc>
          <w:tcPr>
            <w:tcW w:w="632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3类、9类</w:t>
            </w:r>
          </w:p>
        </w:tc>
        <w:tc>
          <w:tcPr>
            <w:tcW w:w="184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417" w:hRule="atLeast"/>
        </w:trPr>
        <w:tc>
          <w:tcPr>
            <w:tcW w:w="632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3类</w:t>
            </w:r>
          </w:p>
        </w:tc>
        <w:tc>
          <w:tcPr>
            <w:tcW w:w="184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1</w:t>
            </w:r>
          </w:p>
        </w:tc>
      </w:tr>
      <w:tr>
        <w:tblPrEx>
          <w:tblCellMar>
            <w:top w:w="0" w:type="dxa"/>
            <w:left w:w="108" w:type="dxa"/>
            <w:bottom w:w="0" w:type="dxa"/>
            <w:right w:w="108" w:type="dxa"/>
          </w:tblCellMar>
        </w:tblPrEx>
        <w:trPr>
          <w:trHeight w:val="417" w:hRule="atLeast"/>
        </w:trPr>
        <w:tc>
          <w:tcPr>
            <w:tcW w:w="632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总计</w:t>
            </w:r>
          </w:p>
        </w:tc>
        <w:tc>
          <w:tcPr>
            <w:tcW w:w="184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FreeSerif" w:hAnsi="FreeSerif" w:eastAsia="方正仿宋_GBK" w:cs="FreeSerif"/>
                <w:color w:val="000000" w:themeColor="text1"/>
                <w:kern w:val="0"/>
                <w:sz w:val="21"/>
                <w:szCs w:val="21"/>
                <w14:textFill>
                  <w14:solidFill>
                    <w14:schemeClr w14:val="tx1"/>
                  </w14:solidFill>
                </w14:textFill>
              </w:rPr>
            </w:pPr>
            <w:r>
              <w:rPr>
                <w:rFonts w:hint="default" w:ascii="FreeSerif" w:hAnsi="FreeSerif" w:eastAsia="方正仿宋_GBK" w:cs="FreeSerif"/>
                <w:color w:val="000000" w:themeColor="text1"/>
                <w:kern w:val="0"/>
                <w:sz w:val="21"/>
                <w:szCs w:val="21"/>
                <w14:textFill>
                  <w14:solidFill>
                    <w14:schemeClr w14:val="tx1"/>
                  </w14:solidFill>
                </w14:textFill>
              </w:rPr>
              <w:t>10</w:t>
            </w:r>
          </w:p>
        </w:tc>
      </w:tr>
    </w:tbl>
    <w:p>
      <w:pPr>
        <w:spacing w:before="100" w:beforeAutospacing="1"/>
        <w:ind w:firstLine="420" w:firstLineChars="200"/>
        <w:jc w:val="both"/>
        <w:rPr>
          <w:rFonts w:hint="default" w:ascii="FreeSerif" w:hAnsi="FreeSerif" w:eastAsia="方正仿宋_GBK" w:cs="FreeSerif"/>
          <w:sz w:val="21"/>
          <w:szCs w:val="21"/>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w:t>
      </w:r>
      <w:r>
        <w:rPr>
          <w:rFonts w:hint="default" w:ascii="FreeSerif" w:hAnsi="FreeSerif" w:eastAsia="方正仿宋_GBK" w:cs="FreeSerif"/>
          <w:sz w:val="32"/>
          <w:szCs w:val="32"/>
          <w:lang w:val="en"/>
        </w:rPr>
        <w:t>可</w:t>
      </w:r>
      <w:r>
        <w:rPr>
          <w:rFonts w:hint="default" w:ascii="FreeSerif" w:hAnsi="FreeSerif" w:eastAsia="方正仿宋_GBK" w:cs="FreeSerif"/>
          <w:sz w:val="32"/>
          <w:szCs w:val="32"/>
        </w:rPr>
        <w:t>知，每个企业所经营的危险货物类别不同，其中，有5家企业专门经营第2类1项危险货物的道路运输，1家企业专门经营第2类2项危险货物的道路运输，1家企业专门经营第3类危险货物的道路运输，其余3家企业均同时经营两种危险货物的道路运输。</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按照不同危险货物类别将企业进行分类，得到</w:t>
      </w:r>
      <w:bookmarkStart w:id="45" w:name="_Hlk69371915"/>
      <w:r>
        <w:rPr>
          <w:rFonts w:hint="default" w:ascii="FreeSerif" w:hAnsi="FreeSerif" w:eastAsia="方正仿宋_GBK" w:cs="FreeSerif"/>
          <w:sz w:val="32"/>
          <w:szCs w:val="32"/>
        </w:rPr>
        <w:t>各类危险货物道路运输的经营企业数</w:t>
      </w:r>
      <w:bookmarkEnd w:id="45"/>
      <w:r>
        <w:rPr>
          <w:rFonts w:hint="default" w:ascii="FreeSerif" w:hAnsi="FreeSerif" w:eastAsia="方正仿宋_GBK" w:cs="FreeSerif"/>
          <w:sz w:val="32"/>
          <w:szCs w:val="32"/>
        </w:rPr>
        <w:t>量见表2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3和图2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4。</w:t>
      </w:r>
    </w:p>
    <w:p>
      <w:pPr>
        <w:ind w:firstLine="480" w:firstLineChars="200"/>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表2</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3  各类别危险货物道路运输的经营企业数量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2948"/>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87" w:type="dxa"/>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性质</w:t>
            </w:r>
          </w:p>
        </w:tc>
        <w:tc>
          <w:tcPr>
            <w:tcW w:w="2948" w:type="dxa"/>
            <w:noWrap/>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类别</w:t>
            </w:r>
          </w:p>
        </w:tc>
        <w:tc>
          <w:tcPr>
            <w:tcW w:w="2948" w:type="dxa"/>
            <w:noWrap/>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企业数量</w:t>
            </w:r>
            <w:r>
              <w:rPr>
                <w:rFonts w:hint="default" w:ascii="FreeSerif" w:hAnsi="FreeSerif" w:eastAsia="方正黑体_GBK" w:cs="FreeSerif"/>
                <w:b w:val="0"/>
                <w:bCs/>
                <w:color w:val="000000" w:themeColor="text1"/>
                <w:sz w:val="20"/>
                <w:szCs w:val="21"/>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287" w:type="dxa"/>
            <w:vMerge w:val="restart"/>
            <w:vAlign w:val="center"/>
          </w:tcPr>
          <w:p>
            <w:pPr>
              <w:jc w:val="center"/>
              <w:rPr>
                <w:rFonts w:hint="default" w:ascii="FreeSerif" w:hAnsi="FreeSerif" w:eastAsia="方正仿宋_GBK" w:cs="FreeSerif"/>
                <w:sz w:val="21"/>
                <w:szCs w:val="21"/>
              </w:rPr>
            </w:pPr>
            <w:r>
              <w:rPr>
                <w:rFonts w:hint="default" w:ascii="FreeSerif" w:hAnsi="FreeSerif" w:eastAsia="方正仿宋_GBK" w:cs="FreeSerif"/>
                <w:sz w:val="21"/>
                <w:szCs w:val="21"/>
              </w:rPr>
              <w:t>经营性</w:t>
            </w:r>
          </w:p>
        </w:tc>
        <w:tc>
          <w:tcPr>
            <w:tcW w:w="2948" w:type="dxa"/>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2类</w:t>
            </w:r>
          </w:p>
        </w:tc>
        <w:tc>
          <w:tcPr>
            <w:tcW w:w="2948" w:type="dxa"/>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87" w:type="dxa"/>
            <w:vMerge w:val="continue"/>
            <w:vAlign w:val="center"/>
          </w:tcPr>
          <w:p>
            <w:pPr>
              <w:widowControl/>
              <w:jc w:val="center"/>
              <w:rPr>
                <w:rFonts w:hint="default" w:ascii="FreeSerif" w:hAnsi="FreeSerif" w:eastAsia="方正仿宋_GBK" w:cs="FreeSerif"/>
                <w:sz w:val="21"/>
                <w:szCs w:val="21"/>
              </w:rPr>
            </w:pPr>
          </w:p>
        </w:tc>
        <w:tc>
          <w:tcPr>
            <w:tcW w:w="2948" w:type="dxa"/>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3类</w:t>
            </w:r>
          </w:p>
        </w:tc>
        <w:tc>
          <w:tcPr>
            <w:tcW w:w="2948" w:type="dxa"/>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287" w:type="dxa"/>
            <w:vMerge w:val="continue"/>
            <w:vAlign w:val="center"/>
          </w:tcPr>
          <w:p>
            <w:pPr>
              <w:widowControl/>
              <w:jc w:val="center"/>
              <w:rPr>
                <w:rFonts w:hint="default" w:ascii="FreeSerif" w:hAnsi="FreeSerif" w:eastAsia="方正仿宋_GBK" w:cs="FreeSerif"/>
                <w:sz w:val="21"/>
                <w:szCs w:val="21"/>
              </w:rPr>
            </w:pPr>
          </w:p>
        </w:tc>
        <w:tc>
          <w:tcPr>
            <w:tcW w:w="2948" w:type="dxa"/>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9类</w:t>
            </w:r>
          </w:p>
        </w:tc>
        <w:tc>
          <w:tcPr>
            <w:tcW w:w="2948" w:type="dxa"/>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1</w:t>
            </w:r>
          </w:p>
        </w:tc>
      </w:tr>
    </w:tbl>
    <w:p>
      <w:pPr>
        <w:spacing w:before="100" w:beforeAutospacing="1"/>
        <w:jc w:val="both"/>
        <w:rPr>
          <w:rFonts w:hint="default" w:ascii="FreeSerif" w:hAnsi="FreeSerif" w:eastAsia="仿宋_GB2312" w:cs="FreeSerif"/>
          <w:sz w:val="28"/>
          <w:szCs w:val="28"/>
        </w:rPr>
      </w:pPr>
      <w:r>
        <w:rPr>
          <w:rFonts w:hint="default" w:ascii="FreeSerif" w:hAnsi="FreeSerif" w:cs="FreeSerif"/>
        </w:rPr>
        <w:drawing>
          <wp:anchor distT="0" distB="0" distL="114300" distR="114300" simplePos="0" relativeHeight="251665408" behindDoc="0" locked="0" layoutInCell="1" allowOverlap="1">
            <wp:simplePos x="0" y="0"/>
            <wp:positionH relativeFrom="column">
              <wp:posOffset>433705</wp:posOffset>
            </wp:positionH>
            <wp:positionV relativeFrom="paragraph">
              <wp:posOffset>304165</wp:posOffset>
            </wp:positionV>
            <wp:extent cx="4889500" cy="3171190"/>
            <wp:effectExtent l="5080" t="4445" r="20320" b="5715"/>
            <wp:wrapSquare wrapText="bothSides"/>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both"/>
        <w:rPr>
          <w:rFonts w:hint="default" w:ascii="FreeSerif" w:hAnsi="FreeSerif" w:eastAsia="方正楷体_GBK" w:cs="FreeSerif"/>
          <w:sz w:val="24"/>
          <w:szCs w:val="24"/>
        </w:rPr>
      </w:pPr>
    </w:p>
    <w:p>
      <w:pPr>
        <w:spacing w:after="100" w:afterAutospacing="1"/>
        <w:jc w:val="center"/>
        <w:rPr>
          <w:rFonts w:hint="default" w:ascii="FreeSerif" w:hAnsi="FreeSerif" w:eastAsia="方正楷体_GBK" w:cs="FreeSerif"/>
          <w:sz w:val="24"/>
          <w:szCs w:val="24"/>
        </w:rPr>
      </w:pPr>
      <w:r>
        <w:rPr>
          <w:rFonts w:hint="default" w:ascii="FreeSerif" w:hAnsi="FreeSerif" w:eastAsia="方正楷体_GBK" w:cs="FreeSerif"/>
          <w:sz w:val="24"/>
          <w:szCs w:val="24"/>
        </w:rPr>
        <w:t>图2</w:t>
      </w:r>
      <w:r>
        <w:rPr>
          <w:rFonts w:hint="default" w:ascii="FreeSerif" w:hAnsi="FreeSerif" w:eastAsia="方正楷体_GBK" w:cs="FreeSerif"/>
          <w:sz w:val="24"/>
          <w:szCs w:val="24"/>
          <w:lang w:val="en-US"/>
        </w:rPr>
        <w:t>－</w:t>
      </w:r>
      <w:r>
        <w:rPr>
          <w:rFonts w:hint="default" w:ascii="FreeSerif" w:hAnsi="FreeSerif" w:eastAsia="方正楷体_GBK" w:cs="FreeSerif"/>
          <w:sz w:val="24"/>
          <w:szCs w:val="24"/>
        </w:rPr>
        <w:t>4 运输各类别危险货物道路运输的企业数量</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由上可知，白城市不同企业所经营的危险货物类别较少，且存在一定的差异，经营第2类危险货物道路运输的企业最多，经营第3类危险货物道路运输的企业次之，经营第9类危险货物道路运输的企业数量仅一家。</w:t>
      </w:r>
      <w:bookmarkStart w:id="46" w:name="_Toc86007807"/>
      <w:bookmarkStart w:id="47" w:name="_Toc71998604"/>
      <w:bookmarkStart w:id="48" w:name="_Toc86007944"/>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2.3.3 企业经营规模情况</w:t>
      </w:r>
      <w:bookmarkEnd w:id="46"/>
      <w:bookmarkEnd w:id="47"/>
      <w:bookmarkEnd w:id="4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仿宋_GB2312" w:cs="FreeSerif"/>
          <w:sz w:val="28"/>
          <w:szCs w:val="28"/>
        </w:rPr>
      </w:pPr>
      <w:r>
        <w:rPr>
          <w:rFonts w:hint="default" w:ascii="FreeSerif" w:hAnsi="FreeSerif" w:eastAsia="方正仿宋_GBK" w:cs="FreeSerif"/>
          <w:sz w:val="32"/>
          <w:szCs w:val="32"/>
        </w:rPr>
        <w:t>根据《道路危险货物运输企业等级》</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JT/T 1250</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2019</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，各企业等级需满足的规模要求见表2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4。</w:t>
      </w:r>
    </w:p>
    <w:p>
      <w:pPr>
        <w:jc w:val="both"/>
        <w:rPr>
          <w:rFonts w:hint="default" w:ascii="FreeSerif" w:hAnsi="FreeSerif" w:eastAsia="方正黑体_GBK" w:cs="FreeSerif"/>
          <w:sz w:val="24"/>
          <w:szCs w:val="24"/>
        </w:rPr>
      </w:pPr>
    </w:p>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表2</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4 等级企业所需满足的规模要求</w:t>
      </w:r>
    </w:p>
    <w:tbl>
      <w:tblPr>
        <w:tblStyle w:val="16"/>
        <w:tblW w:w="7438" w:type="dxa"/>
        <w:jc w:val="center"/>
        <w:tblLayout w:type="autofit"/>
        <w:tblCellMar>
          <w:top w:w="0" w:type="dxa"/>
          <w:left w:w="108" w:type="dxa"/>
          <w:bottom w:w="0" w:type="dxa"/>
          <w:right w:w="108" w:type="dxa"/>
        </w:tblCellMar>
      </w:tblPr>
      <w:tblGrid>
        <w:gridCol w:w="1699"/>
        <w:gridCol w:w="1219"/>
        <w:gridCol w:w="1219"/>
        <w:gridCol w:w="1219"/>
        <w:gridCol w:w="1041"/>
        <w:gridCol w:w="1041"/>
      </w:tblGrid>
      <w:tr>
        <w:tblPrEx>
          <w:tblCellMar>
            <w:top w:w="0" w:type="dxa"/>
            <w:left w:w="108" w:type="dxa"/>
            <w:bottom w:w="0" w:type="dxa"/>
            <w:right w:w="108" w:type="dxa"/>
          </w:tblCellMar>
        </w:tblPrEx>
        <w:trPr>
          <w:trHeight w:val="70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企业等级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特级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一级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二级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三级</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四级</w:t>
            </w:r>
          </w:p>
        </w:tc>
      </w:tr>
      <w:tr>
        <w:tblPrEx>
          <w:tblCellMar>
            <w:top w:w="0" w:type="dxa"/>
            <w:left w:w="108" w:type="dxa"/>
            <w:bottom w:w="0" w:type="dxa"/>
            <w:right w:w="108" w:type="dxa"/>
          </w:tblCellMar>
        </w:tblPrEx>
        <w:trPr>
          <w:trHeight w:val="7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规模要求</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≥500</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≥200</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≥50</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≥10</w:t>
            </w:r>
          </w:p>
        </w:tc>
      </w:tr>
    </w:tbl>
    <w:p>
      <w:pPr>
        <w:keepNext w:val="0"/>
        <w:keepLines w:val="0"/>
        <w:pageBreakBefore w:val="0"/>
        <w:widowControl w:val="0"/>
        <w:kinsoku/>
        <w:wordWrap/>
        <w:overflowPunct w:val="0"/>
        <w:topLinePunct w:val="0"/>
        <w:autoSpaceDE/>
        <w:autoSpaceDN/>
        <w:bidi w:val="0"/>
        <w:adjustRightInd/>
        <w:snapToGrid/>
        <w:spacing w:before="100" w:beforeAutospacing="1" w:after="100" w:afterAutospacing="1" w:line="578" w:lineRule="exact"/>
        <w:ind w:firstLine="640" w:firstLineChars="200"/>
        <w:jc w:val="both"/>
        <w:textAlignment w:val="auto"/>
        <w:rPr>
          <w:rFonts w:hint="default" w:ascii="FreeSerif" w:hAnsi="FreeSerif" w:eastAsia="方正仿宋_GBK" w:cs="FreeSerif"/>
          <w:sz w:val="28"/>
          <w:szCs w:val="28"/>
          <w:lang w:val="en-US" w:eastAsia="zh-CN"/>
        </w:rPr>
      </w:pPr>
      <w:r>
        <w:rPr>
          <w:rFonts w:hint="default" w:ascii="FreeSerif" w:hAnsi="FreeSerif" w:eastAsia="方正仿宋_GBK" w:cs="FreeSerif"/>
          <w:sz w:val="32"/>
          <w:szCs w:val="32"/>
        </w:rPr>
        <w:t>将各企业的经营车辆数进行统计分析，得到结果见表2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5</w:t>
      </w:r>
      <w:r>
        <w:rPr>
          <w:rFonts w:hint="default" w:ascii="FreeSerif" w:hAnsi="FreeSerif" w:eastAsia="方正仿宋_GBK" w:cs="FreeSerif"/>
          <w:sz w:val="32"/>
          <w:szCs w:val="32"/>
          <w:lang w:eastAsia="zh-CN"/>
        </w:rPr>
        <w:t>。</w:t>
      </w:r>
    </w:p>
    <w:p>
      <w:pPr>
        <w:jc w:val="center"/>
        <w:rPr>
          <w:rFonts w:hint="default" w:ascii="FreeSerif" w:hAnsi="FreeSerif" w:eastAsia="方正黑体_GBK" w:cs="FreeSerif"/>
          <w:sz w:val="24"/>
          <w:szCs w:val="24"/>
        </w:rPr>
      </w:pPr>
      <w:r>
        <w:rPr>
          <w:rFonts w:hint="default" w:ascii="FreeSerif" w:hAnsi="FreeSerif" w:eastAsia="方正黑体_GBK" w:cs="FreeSerif"/>
          <w:color w:val="000000" w:themeColor="text1"/>
          <w:sz w:val="24"/>
          <w:szCs w:val="24"/>
          <w14:textFill>
            <w14:solidFill>
              <w14:schemeClr w14:val="tx1"/>
            </w14:solidFill>
          </w14:textFill>
        </w:rPr>
        <w:t>表</w:t>
      </w:r>
      <w:r>
        <w:rPr>
          <w:rFonts w:hint="default" w:ascii="FreeSerif" w:hAnsi="FreeSerif" w:eastAsia="方正黑体_GBK" w:cs="FreeSerif"/>
          <w:sz w:val="24"/>
          <w:szCs w:val="24"/>
        </w:rPr>
        <w:t>2</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 xml:space="preserve">5 </w:t>
      </w:r>
      <w:r>
        <w:rPr>
          <w:rFonts w:hint="default" w:ascii="FreeSerif" w:hAnsi="FreeSerif" w:eastAsia="方正黑体_GBK" w:cs="FreeSerif"/>
          <w:color w:val="000000" w:themeColor="text1"/>
          <w:sz w:val="24"/>
          <w:szCs w:val="24"/>
          <w14:textFill>
            <w14:solidFill>
              <w14:schemeClr w14:val="tx1"/>
            </w14:solidFill>
          </w14:textFill>
        </w:rPr>
        <w:t xml:space="preserve"> 各企</w:t>
      </w:r>
      <w:r>
        <w:rPr>
          <w:rFonts w:hint="default" w:ascii="FreeSerif" w:hAnsi="FreeSerif" w:eastAsia="方正黑体_GBK" w:cs="FreeSerif"/>
          <w:sz w:val="24"/>
          <w:szCs w:val="24"/>
        </w:rPr>
        <w:t>业危险货物道路运输车辆情况</w:t>
      </w:r>
    </w:p>
    <w:tbl>
      <w:tblPr>
        <w:tblStyle w:val="16"/>
        <w:tblpPr w:leftFromText="180" w:rightFromText="180" w:vertAnchor="text" w:horzAnchor="margin" w:tblpXSpec="center" w:tblpY="23"/>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5447"/>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3" w:type="pct"/>
            <w:vAlign w:val="center"/>
          </w:tcPr>
          <w:p>
            <w:pPr>
              <w:spacing w:after="100" w:afterAutospacing="1"/>
              <w:jc w:val="center"/>
              <w:rPr>
                <w:rFonts w:hint="default" w:ascii="FreeSerif" w:hAnsi="FreeSerif" w:eastAsia="方正黑体_GBK" w:cs="FreeSerif"/>
                <w:b w:val="0"/>
                <w:bCs w:val="0"/>
                <w:szCs w:val="21"/>
              </w:rPr>
            </w:pPr>
            <w:r>
              <w:rPr>
                <w:rFonts w:hint="default" w:ascii="FreeSerif" w:hAnsi="FreeSerif" w:eastAsia="方正黑体_GBK" w:cs="FreeSerif"/>
                <w:b w:val="0"/>
                <w:bCs w:val="0"/>
                <w:szCs w:val="21"/>
              </w:rPr>
              <w:t>序号</w:t>
            </w:r>
          </w:p>
        </w:tc>
        <w:tc>
          <w:tcPr>
            <w:tcW w:w="3089" w:type="pct"/>
            <w:noWrap/>
            <w:vAlign w:val="center"/>
          </w:tcPr>
          <w:p>
            <w:pPr>
              <w:spacing w:after="100" w:afterAutospacing="1"/>
              <w:jc w:val="center"/>
              <w:rPr>
                <w:rFonts w:hint="default" w:ascii="FreeSerif" w:hAnsi="FreeSerif" w:eastAsia="方正黑体_GBK" w:cs="FreeSerif"/>
                <w:b w:val="0"/>
                <w:bCs w:val="0"/>
                <w:szCs w:val="21"/>
              </w:rPr>
            </w:pPr>
            <w:r>
              <w:rPr>
                <w:rFonts w:hint="default" w:ascii="FreeSerif" w:hAnsi="FreeSerif" w:eastAsia="方正黑体_GBK" w:cs="FreeSerif"/>
                <w:b w:val="0"/>
                <w:bCs w:val="0"/>
                <w:szCs w:val="21"/>
              </w:rPr>
              <w:t>企业名称</w:t>
            </w:r>
          </w:p>
        </w:tc>
        <w:tc>
          <w:tcPr>
            <w:tcW w:w="1326" w:type="pct"/>
            <w:noWrap/>
            <w:vAlign w:val="center"/>
          </w:tcPr>
          <w:p>
            <w:pPr>
              <w:spacing w:after="100" w:afterAutospacing="1"/>
              <w:jc w:val="center"/>
              <w:rPr>
                <w:rFonts w:hint="default" w:ascii="FreeSerif" w:hAnsi="FreeSerif" w:eastAsia="方正黑体_GBK" w:cs="FreeSerif"/>
                <w:b w:val="0"/>
                <w:bCs w:val="0"/>
                <w:szCs w:val="21"/>
              </w:rPr>
            </w:pPr>
            <w:r>
              <w:rPr>
                <w:rFonts w:hint="default" w:ascii="FreeSerif" w:hAnsi="FreeSerif" w:eastAsia="方正黑体_GBK" w:cs="FreeSerif"/>
                <w:b w:val="0"/>
                <w:bCs w:val="0"/>
                <w:szCs w:val="21"/>
              </w:rPr>
              <w:t>车辆数</w:t>
            </w:r>
            <w:r>
              <w:rPr>
                <w:rFonts w:hint="default" w:ascii="FreeSerif" w:hAnsi="FreeSerif" w:eastAsia="方正黑体_GBK" w:cs="FreeSerif"/>
                <w:b w:val="0"/>
                <w:bCs w:val="0"/>
                <w:sz w:val="20"/>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1</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白城市利民液化气站</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2</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w:t>
            </w:r>
            <w:r>
              <w:rPr>
                <w:rFonts w:hint="default" w:ascii="FreeSerif" w:hAnsi="FreeSerif" w:eastAsia="方正仿宋_GBK" w:cs="FreeSerif"/>
                <w:color w:val="000000" w:themeColor="text1"/>
                <w:sz w:val="21"/>
                <w:szCs w:val="21"/>
                <w14:textFill>
                  <w14:solidFill>
                    <w14:schemeClr w14:val="tx1"/>
                  </w14:solidFill>
                </w14:textFill>
              </w:rPr>
              <w:t>市大安市生</w:t>
            </w:r>
            <w:r>
              <w:rPr>
                <w:rFonts w:hint="default" w:ascii="FreeSerif" w:hAnsi="FreeSerif" w:eastAsia="方正仿宋_GBK" w:cs="FreeSerif"/>
                <w:sz w:val="21"/>
                <w:szCs w:val="21"/>
              </w:rPr>
              <w:t>辉工程运输服务有限责任公司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3</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白城市洮北区金宝液化气运输有限公司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4</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白城市洮南市新达氧气厂</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5</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白城市通榆县汇程运输有限公司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6</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白城市通榆县盛文运输有限责任公司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7</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白城市兴业燃气有限责任公司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8</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白城市中醇化新能源有限公司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9</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白城市中吉燃气经销有限公司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3" w:type="pct"/>
            <w:vAlign w:val="center"/>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10</w:t>
            </w:r>
          </w:p>
        </w:tc>
        <w:tc>
          <w:tcPr>
            <w:tcW w:w="3089"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吉林省德信生物工程有限公司</w:t>
            </w:r>
          </w:p>
        </w:tc>
        <w:tc>
          <w:tcPr>
            <w:tcW w:w="1326" w:type="pct"/>
            <w:noWrap/>
          </w:tcPr>
          <w:p>
            <w:pPr>
              <w:spacing w:after="100" w:afterAutospacing="1"/>
              <w:jc w:val="center"/>
              <w:rPr>
                <w:rFonts w:hint="default" w:ascii="FreeSerif" w:hAnsi="FreeSerif" w:eastAsia="方正仿宋_GBK" w:cs="FreeSerif"/>
                <w:sz w:val="21"/>
                <w:szCs w:val="21"/>
              </w:rPr>
            </w:pPr>
            <w:r>
              <w:rPr>
                <w:rFonts w:hint="default" w:ascii="FreeSerif" w:hAnsi="FreeSerif" w:eastAsia="方正仿宋_GBK" w:cs="FreeSerif"/>
                <w:sz w:val="21"/>
                <w:szCs w:val="21"/>
              </w:rPr>
              <w:t>5</w:t>
            </w:r>
          </w:p>
        </w:tc>
      </w:tr>
    </w:tbl>
    <w:p>
      <w:pPr>
        <w:jc w:val="both"/>
        <w:rPr>
          <w:rFonts w:hint="default" w:ascii="FreeSerif" w:hAnsi="FreeSerif" w:cs="FreeSerif"/>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表2－5可知，4户企业的车辆规模为5辆，分别是大安市生辉工程运输服务有限责任公司、白城市洮南市新达氧气厂、白城市中醇化新能源有限公司和吉林省德信生物工程有限公司，该类企业均为微型企业。2户企业车辆数小于10台，分别是白城市利民液化气站和白城市通榆县盛文运输有限责任公司，4户企业车辆数位于10~24台之间，尚无企业车辆数达到50台以上。</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根据白城市危险货物道路运输企业的经营车辆数统计情况，得到各企业危险货物道路运输车辆数见图2－5。</w:t>
      </w:r>
    </w:p>
    <w:p>
      <w:pPr>
        <w:jc w:val="center"/>
        <w:rPr>
          <w:rFonts w:hint="default" w:ascii="FreeSerif" w:hAnsi="FreeSerif" w:eastAsia="黑体" w:cs="FreeSerif"/>
          <w:szCs w:val="21"/>
        </w:rPr>
      </w:pPr>
      <w:r>
        <w:rPr>
          <w:rFonts w:hint="default" w:ascii="FreeSerif" w:hAnsi="FreeSerif" w:cs="FreeSerif"/>
        </w:rPr>
        <w:drawing>
          <wp:anchor distT="0" distB="0" distL="114300" distR="114300" simplePos="0" relativeHeight="251666432" behindDoc="0" locked="0" layoutInCell="1" allowOverlap="1">
            <wp:simplePos x="0" y="0"/>
            <wp:positionH relativeFrom="column">
              <wp:posOffset>328295</wp:posOffset>
            </wp:positionH>
            <wp:positionV relativeFrom="paragraph">
              <wp:posOffset>111125</wp:posOffset>
            </wp:positionV>
            <wp:extent cx="4942840" cy="3381375"/>
            <wp:effectExtent l="4445" t="4445" r="5715" b="5080"/>
            <wp:wrapSquare wrapText="bothSides"/>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default" w:ascii="FreeSerif" w:hAnsi="FreeSerif" w:eastAsia="方正楷体_GBK" w:cs="FreeSerif"/>
          <w:sz w:val="24"/>
          <w:szCs w:val="24"/>
        </w:rPr>
        <w:t>图2</w:t>
      </w:r>
      <w:r>
        <w:rPr>
          <w:rFonts w:hint="default" w:ascii="FreeSerif" w:hAnsi="FreeSerif" w:eastAsia="方正楷体_GBK" w:cs="FreeSerif"/>
          <w:sz w:val="24"/>
          <w:szCs w:val="24"/>
          <w:lang w:val="en-US"/>
        </w:rPr>
        <w:t>－</w:t>
      </w:r>
      <w:r>
        <w:rPr>
          <w:rFonts w:hint="default" w:ascii="FreeSerif" w:hAnsi="FreeSerif" w:eastAsia="方正楷体_GBK" w:cs="FreeSerif"/>
          <w:sz w:val="24"/>
          <w:szCs w:val="24"/>
        </w:rPr>
        <w:t>5 企业经营危险货物道路运输车辆数</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图2－5可知，企业规模存在一定的不均衡性。大多数企业的经营规模较小。经营车辆数为1~9辆之间的企业有6家，占比60%，均为小微企业。经营车辆数位于10~49辆之间的企业有4家，占比40%，符合四级企业规模要求。该市目前没有三级及以上规模的企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49" w:name="_Toc102936755"/>
      <w:bookmarkStart w:id="50" w:name="_Toc71998605"/>
      <w:r>
        <w:rPr>
          <w:rFonts w:hint="default" w:ascii="FreeSerif" w:hAnsi="FreeSerif" w:eastAsia="方正楷体_GBK" w:cs="FreeSerif"/>
          <w:sz w:val="32"/>
          <w:szCs w:val="32"/>
        </w:rPr>
        <w:t>2.4 运力规模</w:t>
      </w:r>
      <w:bookmarkEnd w:id="49"/>
      <w:bookmarkEnd w:id="50"/>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51" w:name="_Toc86007946"/>
      <w:bookmarkStart w:id="52" w:name="_Toc86007809"/>
      <w:bookmarkStart w:id="53" w:name="_Toc85706125"/>
      <w:bookmarkStart w:id="54" w:name="_Toc71998606"/>
      <w:r>
        <w:rPr>
          <w:rFonts w:hint="default" w:ascii="FreeSerif" w:hAnsi="FreeSerif" w:eastAsia="方正仿宋_GBK" w:cs="FreeSerif"/>
          <w:sz w:val="32"/>
          <w:szCs w:val="32"/>
        </w:rPr>
        <w:t>2.4.1 不同类别车辆数</w:t>
      </w:r>
      <w:bookmarkEnd w:id="51"/>
      <w:bookmarkEnd w:id="52"/>
      <w:bookmarkEnd w:id="53"/>
      <w:bookmarkEnd w:id="54"/>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根据《汽车和挂车类型的术语和定义》（GB/T3730.1</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2001）将车辆分为汽车和挂车，其中汽车又分为牵引车和货车。将白城市不同类型危险货物道路运输车辆进行分类，统计结果见表2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6。</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由表2</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6</w:t>
      </w:r>
      <w:r>
        <w:rPr>
          <w:rFonts w:hint="default" w:ascii="FreeSerif" w:hAnsi="FreeSerif" w:eastAsia="方正仿宋_GBK" w:cs="FreeSerif"/>
          <w:sz w:val="32"/>
          <w:szCs w:val="32"/>
          <w:lang w:eastAsia="zh-CN"/>
        </w:rPr>
        <w:t>可</w:t>
      </w:r>
      <w:r>
        <w:rPr>
          <w:rFonts w:hint="default" w:ascii="FreeSerif" w:hAnsi="FreeSerif" w:eastAsia="方正仿宋_GBK" w:cs="FreeSerif"/>
          <w:sz w:val="32"/>
          <w:szCs w:val="32"/>
        </w:rPr>
        <w:t>知，货车的数量较多，占全部车辆数的56%。牵引车和货车的技术等级均为一级。</w:t>
      </w:r>
    </w:p>
    <w:p>
      <w:pPr>
        <w:jc w:val="center"/>
        <w:rPr>
          <w:rFonts w:hint="default" w:ascii="FreeSerif" w:hAnsi="FreeSerif" w:eastAsia="方正黑体_GBK" w:cs="FreeSerif"/>
          <w:color w:val="000000" w:themeColor="text1"/>
          <w:sz w:val="24"/>
          <w:szCs w:val="24"/>
          <w14:textFill>
            <w14:solidFill>
              <w14:schemeClr w14:val="tx1"/>
            </w14:solidFill>
          </w14:textFill>
        </w:rPr>
      </w:pPr>
      <w:r>
        <w:rPr>
          <w:rFonts w:hint="default" w:ascii="FreeSerif" w:hAnsi="FreeSerif" w:eastAsia="方正黑体_GBK" w:cs="FreeSerif"/>
          <w:color w:val="000000" w:themeColor="text1"/>
          <w:sz w:val="24"/>
          <w:szCs w:val="24"/>
          <w14:textFill>
            <w14:solidFill>
              <w14:schemeClr w14:val="tx1"/>
            </w14:solidFill>
          </w14:textFill>
        </w:rPr>
        <w:t>表2</w:t>
      </w:r>
      <w:r>
        <w:rPr>
          <w:rFonts w:hint="default" w:ascii="FreeSerif" w:hAnsi="FreeSerif" w:eastAsia="方正黑体_GBK" w:cs="FreeSerif"/>
          <w:color w:val="000000" w:themeColor="text1"/>
          <w:sz w:val="24"/>
          <w:szCs w:val="24"/>
          <w:lang w:val="en-US"/>
          <w14:textFill>
            <w14:solidFill>
              <w14:schemeClr w14:val="tx1"/>
            </w14:solidFill>
          </w14:textFill>
        </w:rPr>
        <w:t>－</w:t>
      </w:r>
      <w:r>
        <w:rPr>
          <w:rFonts w:hint="default" w:ascii="FreeSerif" w:hAnsi="FreeSerif" w:eastAsia="方正黑体_GBK" w:cs="FreeSerif"/>
          <w:color w:val="000000" w:themeColor="text1"/>
          <w:sz w:val="24"/>
          <w:szCs w:val="24"/>
          <w14:textFill>
            <w14:solidFill>
              <w14:schemeClr w14:val="tx1"/>
            </w14:solidFill>
          </w14:textFill>
        </w:rPr>
        <w:t>6 不同类型车辆数量</w:t>
      </w:r>
    </w:p>
    <w:tbl>
      <w:tblPr>
        <w:tblStyle w:val="16"/>
        <w:tblW w:w="6784" w:type="dxa"/>
        <w:jc w:val="center"/>
        <w:tblLayout w:type="autofit"/>
        <w:tblCellMar>
          <w:top w:w="0" w:type="dxa"/>
          <w:left w:w="108" w:type="dxa"/>
          <w:bottom w:w="0" w:type="dxa"/>
          <w:right w:w="108" w:type="dxa"/>
        </w:tblCellMar>
      </w:tblPr>
      <w:tblGrid>
        <w:gridCol w:w="2214"/>
        <w:gridCol w:w="1418"/>
        <w:gridCol w:w="1418"/>
        <w:gridCol w:w="1734"/>
      </w:tblGrid>
      <w:tr>
        <w:trPr>
          <w:trHeight w:val="539" w:hRule="atLeast"/>
          <w:jc w:val="center"/>
        </w:trPr>
        <w:tc>
          <w:tcPr>
            <w:tcW w:w="221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车辆类型</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牵引车</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货车</w:t>
            </w:r>
          </w:p>
        </w:tc>
        <w:tc>
          <w:tcPr>
            <w:tcW w:w="173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挂车</w:t>
            </w:r>
          </w:p>
        </w:tc>
      </w:tr>
      <w:tr>
        <w:tblPrEx>
          <w:tblCellMar>
            <w:top w:w="0" w:type="dxa"/>
            <w:left w:w="108" w:type="dxa"/>
            <w:bottom w:w="0" w:type="dxa"/>
            <w:right w:w="108" w:type="dxa"/>
          </w:tblCellMar>
        </w:tblPrEx>
        <w:trPr>
          <w:trHeight w:val="539" w:hRule="atLeast"/>
          <w:jc w:val="center"/>
        </w:trPr>
        <w:tc>
          <w:tcPr>
            <w:tcW w:w="221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车辆数（辆）</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13</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53</w:t>
            </w:r>
          </w:p>
        </w:tc>
        <w:tc>
          <w:tcPr>
            <w:tcW w:w="173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29</w:t>
            </w:r>
          </w:p>
        </w:tc>
      </w:tr>
      <w:tr>
        <w:trPr>
          <w:trHeight w:val="539" w:hRule="atLeast"/>
          <w:jc w:val="center"/>
        </w:trPr>
        <w:tc>
          <w:tcPr>
            <w:tcW w:w="221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其中技术等级为一级的车辆数（辆）</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13</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53</w:t>
            </w:r>
          </w:p>
        </w:tc>
        <w:tc>
          <w:tcPr>
            <w:tcW w:w="173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w:t>
            </w:r>
          </w:p>
        </w:tc>
      </w:tr>
      <w:tr>
        <w:trPr>
          <w:trHeight w:val="539" w:hRule="atLeast"/>
          <w:jc w:val="center"/>
        </w:trPr>
        <w:tc>
          <w:tcPr>
            <w:tcW w:w="221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一级车辆占比（%）</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100</w:t>
            </w:r>
          </w:p>
        </w:tc>
        <w:tc>
          <w:tcPr>
            <w:tcW w:w="1418"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100</w:t>
            </w:r>
          </w:p>
        </w:tc>
        <w:tc>
          <w:tcPr>
            <w:tcW w:w="173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FreeSerif" w:hAnsi="FreeSerif" w:eastAsia="方正仿宋_GBK" w:cs="FreeSerif"/>
                <w:color w:val="000000" w:themeColor="text1"/>
                <w:sz w:val="21"/>
                <w:szCs w:val="21"/>
                <w14:textFill>
                  <w14:solidFill>
                    <w14:schemeClr w14:val="tx1"/>
                  </w14:solidFill>
                </w14:textFill>
              </w:rPr>
            </w:pPr>
            <w:r>
              <w:rPr>
                <w:rFonts w:hint="default" w:ascii="FreeSerif" w:hAnsi="FreeSerif" w:eastAsia="方正仿宋_GBK" w:cs="FreeSerif"/>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55" w:name="_Toc71998607"/>
      <w:bookmarkStart w:id="56" w:name="_Toc85706126"/>
      <w:bookmarkStart w:id="57" w:name="_Toc86007810"/>
      <w:bookmarkStart w:id="58" w:name="_Toc86007947"/>
      <w:r>
        <w:rPr>
          <w:rFonts w:hint="default" w:ascii="FreeSerif" w:hAnsi="FreeSerif" w:eastAsia="方正仿宋_GBK" w:cs="FreeSerif"/>
          <w:sz w:val="32"/>
          <w:szCs w:val="32"/>
        </w:rPr>
        <w:t>2.4.2 各行政区车辆数</w:t>
      </w:r>
      <w:bookmarkEnd w:id="55"/>
      <w:bookmarkEnd w:id="56"/>
      <w:bookmarkEnd w:id="57"/>
      <w:bookmarkEnd w:id="5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通过对各县（市、区）行政区危险货物道路运输车辆数进行统计整理，得到的统计结果见表2－7。各行政区危险货物道路运输车辆数的占比情况见图2－6。</w:t>
      </w:r>
    </w:p>
    <w:p>
      <w:pPr>
        <w:jc w:val="both"/>
        <w:rPr>
          <w:rFonts w:hint="default" w:ascii="FreeSerif" w:hAnsi="FreeSerif" w:eastAsia="方正黑体_GBK" w:cs="FreeSerif"/>
          <w:sz w:val="24"/>
          <w:szCs w:val="24"/>
        </w:rPr>
      </w:pPr>
    </w:p>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表2</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7 各行政区危险货物道路运输车辆数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936"/>
        <w:gridCol w:w="936"/>
        <w:gridCol w:w="936"/>
        <w:gridCol w:w="93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noWrap/>
            <w:vAlign w:val="center"/>
          </w:tcPr>
          <w:p>
            <w:pPr>
              <w:jc w:val="center"/>
              <w:rPr>
                <w:rFonts w:hint="default" w:ascii="FreeSerif" w:hAnsi="FreeSerif" w:eastAsia="方正黑体_GBK" w:cs="FreeSerif"/>
                <w:b w:val="0"/>
                <w:bCs/>
                <w:sz w:val="24"/>
                <w:szCs w:val="24"/>
              </w:rPr>
            </w:pPr>
            <w:r>
              <w:rPr>
                <w:rFonts w:hint="default" w:ascii="FreeSerif" w:hAnsi="FreeSerif" w:eastAsia="方正黑体_GBK" w:cs="FreeSerif"/>
                <w:b w:val="0"/>
                <w:bCs/>
                <w:sz w:val="24"/>
                <w:szCs w:val="24"/>
              </w:rPr>
              <w:t>行政区</w:t>
            </w:r>
          </w:p>
        </w:tc>
        <w:tc>
          <w:tcPr>
            <w:tcW w:w="0" w:type="auto"/>
            <w:noWrap/>
            <w:vAlign w:val="center"/>
          </w:tcPr>
          <w:p>
            <w:pPr>
              <w:jc w:val="center"/>
              <w:rPr>
                <w:rFonts w:hint="default" w:ascii="FreeSerif" w:hAnsi="FreeSerif" w:eastAsia="方正黑体_GBK" w:cs="FreeSerif"/>
                <w:b w:val="0"/>
                <w:bCs/>
                <w:sz w:val="24"/>
                <w:szCs w:val="24"/>
              </w:rPr>
            </w:pPr>
            <w:r>
              <w:rPr>
                <w:rFonts w:hint="default" w:ascii="FreeSerif" w:hAnsi="FreeSerif" w:eastAsia="方正黑体_GBK" w:cs="FreeSerif"/>
                <w:b w:val="0"/>
                <w:bCs/>
                <w:sz w:val="24"/>
                <w:szCs w:val="24"/>
              </w:rPr>
              <w:t>洮北区</w:t>
            </w:r>
          </w:p>
        </w:tc>
        <w:tc>
          <w:tcPr>
            <w:tcW w:w="0" w:type="auto"/>
            <w:noWrap/>
            <w:vAlign w:val="center"/>
          </w:tcPr>
          <w:p>
            <w:pPr>
              <w:jc w:val="center"/>
              <w:rPr>
                <w:rFonts w:hint="default" w:ascii="FreeSerif" w:hAnsi="FreeSerif" w:eastAsia="方正黑体_GBK" w:cs="FreeSerif"/>
                <w:b w:val="0"/>
                <w:bCs/>
                <w:sz w:val="24"/>
                <w:szCs w:val="24"/>
              </w:rPr>
            </w:pPr>
            <w:r>
              <w:rPr>
                <w:rFonts w:hint="default" w:ascii="FreeSerif" w:hAnsi="FreeSerif" w:eastAsia="方正黑体_GBK" w:cs="FreeSerif"/>
                <w:b w:val="0"/>
                <w:bCs/>
                <w:sz w:val="24"/>
                <w:szCs w:val="24"/>
              </w:rPr>
              <w:t>洮南市</w:t>
            </w:r>
          </w:p>
        </w:tc>
        <w:tc>
          <w:tcPr>
            <w:tcW w:w="0" w:type="auto"/>
            <w:noWrap/>
            <w:vAlign w:val="center"/>
          </w:tcPr>
          <w:p>
            <w:pPr>
              <w:jc w:val="center"/>
              <w:rPr>
                <w:rFonts w:hint="default" w:ascii="FreeSerif" w:hAnsi="FreeSerif" w:eastAsia="方正黑体_GBK" w:cs="FreeSerif"/>
                <w:b w:val="0"/>
                <w:bCs/>
                <w:sz w:val="24"/>
                <w:szCs w:val="24"/>
              </w:rPr>
            </w:pPr>
            <w:r>
              <w:rPr>
                <w:rFonts w:hint="default" w:ascii="FreeSerif" w:hAnsi="FreeSerif" w:eastAsia="方正黑体_GBK" w:cs="FreeSerif"/>
                <w:b w:val="0"/>
                <w:bCs/>
                <w:sz w:val="24"/>
                <w:szCs w:val="24"/>
              </w:rPr>
              <w:t>通榆县</w:t>
            </w:r>
          </w:p>
        </w:tc>
        <w:tc>
          <w:tcPr>
            <w:tcW w:w="0" w:type="auto"/>
            <w:noWrap/>
            <w:vAlign w:val="center"/>
          </w:tcPr>
          <w:p>
            <w:pPr>
              <w:jc w:val="center"/>
              <w:rPr>
                <w:rFonts w:hint="default" w:ascii="FreeSerif" w:hAnsi="FreeSerif" w:eastAsia="方正黑体_GBK" w:cs="FreeSerif"/>
                <w:b w:val="0"/>
                <w:bCs/>
                <w:sz w:val="24"/>
                <w:szCs w:val="24"/>
              </w:rPr>
            </w:pPr>
            <w:r>
              <w:rPr>
                <w:rFonts w:hint="default" w:ascii="FreeSerif" w:hAnsi="FreeSerif" w:eastAsia="方正黑体_GBK" w:cs="FreeSerif"/>
                <w:b w:val="0"/>
                <w:bCs/>
                <w:sz w:val="24"/>
                <w:szCs w:val="24"/>
              </w:rPr>
              <w:t>大安市</w:t>
            </w:r>
          </w:p>
        </w:tc>
        <w:tc>
          <w:tcPr>
            <w:tcW w:w="0" w:type="auto"/>
            <w:noWrap/>
            <w:vAlign w:val="center"/>
          </w:tcPr>
          <w:p>
            <w:pPr>
              <w:jc w:val="center"/>
              <w:rPr>
                <w:rFonts w:hint="default" w:ascii="FreeSerif" w:hAnsi="FreeSerif" w:eastAsia="方正黑体_GBK" w:cs="FreeSerif"/>
                <w:b w:val="0"/>
                <w:bCs/>
                <w:sz w:val="24"/>
                <w:szCs w:val="24"/>
              </w:rPr>
            </w:pPr>
            <w:r>
              <w:rPr>
                <w:rFonts w:hint="default" w:ascii="FreeSerif" w:hAnsi="FreeSerif" w:eastAsia="方正黑体_GBK" w:cs="FreeSerif"/>
                <w:b w:val="0"/>
                <w:bCs/>
                <w:sz w:val="24"/>
                <w:szCs w:val="24"/>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0" w:type="auto"/>
            <w:noWrap/>
            <w:vAlign w:val="center"/>
          </w:tcPr>
          <w:p>
            <w:pPr>
              <w:jc w:val="center"/>
              <w:rPr>
                <w:rFonts w:hint="default" w:ascii="FreeSerif" w:hAnsi="FreeSerif" w:eastAsia="方正仿宋_GBK" w:cs="FreeSerif"/>
                <w:sz w:val="24"/>
                <w:szCs w:val="24"/>
              </w:rPr>
            </w:pPr>
            <w:r>
              <w:rPr>
                <w:rFonts w:hint="default" w:ascii="FreeSerif" w:hAnsi="FreeSerif" w:eastAsia="方正仿宋_GBK" w:cs="FreeSerif"/>
                <w:sz w:val="24"/>
                <w:szCs w:val="24"/>
              </w:rPr>
              <w:t>车辆数（辆）</w:t>
            </w:r>
          </w:p>
        </w:tc>
        <w:tc>
          <w:tcPr>
            <w:tcW w:w="0" w:type="auto"/>
            <w:noWrap/>
            <w:vAlign w:val="center"/>
          </w:tcPr>
          <w:p>
            <w:pPr>
              <w:jc w:val="center"/>
              <w:rPr>
                <w:rFonts w:hint="default" w:ascii="FreeSerif" w:hAnsi="FreeSerif" w:eastAsia="方正仿宋_GBK" w:cs="FreeSerif"/>
                <w:color w:val="000000" w:themeColor="text1"/>
                <w:sz w:val="24"/>
                <w:szCs w:val="24"/>
                <w14:textFill>
                  <w14:solidFill>
                    <w14:schemeClr w14:val="tx1"/>
                  </w14:solidFill>
                </w14:textFill>
              </w:rPr>
            </w:pPr>
            <w:r>
              <w:rPr>
                <w:rFonts w:hint="default" w:ascii="FreeSerif" w:hAnsi="FreeSerif" w:eastAsia="方正仿宋_GBK" w:cs="FreeSerif"/>
                <w:color w:val="000000" w:themeColor="text1"/>
                <w:sz w:val="24"/>
                <w:szCs w:val="24"/>
                <w14:textFill>
                  <w14:solidFill>
                    <w14:schemeClr w14:val="tx1"/>
                  </w14:solidFill>
                </w14:textFill>
              </w:rPr>
              <w:t>63</w:t>
            </w:r>
          </w:p>
        </w:tc>
        <w:tc>
          <w:tcPr>
            <w:tcW w:w="0" w:type="auto"/>
            <w:noWrap/>
            <w:vAlign w:val="center"/>
          </w:tcPr>
          <w:p>
            <w:pPr>
              <w:jc w:val="center"/>
              <w:rPr>
                <w:rFonts w:hint="default" w:ascii="FreeSerif" w:hAnsi="FreeSerif" w:eastAsia="方正仿宋_GBK" w:cs="FreeSerif"/>
                <w:color w:val="000000" w:themeColor="text1"/>
                <w:sz w:val="24"/>
                <w:szCs w:val="24"/>
                <w14:textFill>
                  <w14:solidFill>
                    <w14:schemeClr w14:val="tx1"/>
                  </w14:solidFill>
                </w14:textFill>
              </w:rPr>
            </w:pPr>
            <w:r>
              <w:rPr>
                <w:rFonts w:hint="default" w:ascii="FreeSerif" w:hAnsi="FreeSerif" w:eastAsia="方正仿宋_GBK" w:cs="FreeSerif"/>
                <w:color w:val="000000" w:themeColor="text1"/>
                <w:sz w:val="24"/>
                <w:szCs w:val="24"/>
                <w14:textFill>
                  <w14:solidFill>
                    <w14:schemeClr w14:val="tx1"/>
                  </w14:solidFill>
                </w14:textFill>
              </w:rPr>
              <w:t>5</w:t>
            </w:r>
          </w:p>
        </w:tc>
        <w:tc>
          <w:tcPr>
            <w:tcW w:w="0" w:type="auto"/>
            <w:noWrap/>
            <w:vAlign w:val="center"/>
          </w:tcPr>
          <w:p>
            <w:pPr>
              <w:jc w:val="center"/>
              <w:rPr>
                <w:rFonts w:hint="default" w:ascii="FreeSerif" w:hAnsi="FreeSerif" w:eastAsia="方正仿宋_GBK" w:cs="FreeSerif"/>
                <w:color w:val="000000" w:themeColor="text1"/>
                <w:sz w:val="24"/>
                <w:szCs w:val="24"/>
                <w14:textFill>
                  <w14:solidFill>
                    <w14:schemeClr w14:val="tx1"/>
                  </w14:solidFill>
                </w14:textFill>
              </w:rPr>
            </w:pPr>
            <w:r>
              <w:rPr>
                <w:rFonts w:hint="default" w:ascii="FreeSerif" w:hAnsi="FreeSerif" w:eastAsia="方正仿宋_GBK" w:cs="FreeSerif"/>
                <w:color w:val="000000" w:themeColor="text1"/>
                <w:sz w:val="24"/>
                <w:szCs w:val="24"/>
                <w14:textFill>
                  <w14:solidFill>
                    <w14:schemeClr w14:val="tx1"/>
                  </w14:solidFill>
                </w14:textFill>
              </w:rPr>
              <w:t>22</w:t>
            </w:r>
          </w:p>
        </w:tc>
        <w:tc>
          <w:tcPr>
            <w:tcW w:w="0" w:type="auto"/>
            <w:noWrap/>
            <w:vAlign w:val="center"/>
          </w:tcPr>
          <w:p>
            <w:pPr>
              <w:jc w:val="center"/>
              <w:rPr>
                <w:rFonts w:hint="default" w:ascii="FreeSerif" w:hAnsi="FreeSerif" w:eastAsia="方正仿宋_GBK" w:cs="FreeSerif"/>
                <w:color w:val="000000" w:themeColor="text1"/>
                <w:sz w:val="24"/>
                <w:szCs w:val="24"/>
                <w14:textFill>
                  <w14:solidFill>
                    <w14:schemeClr w14:val="tx1"/>
                  </w14:solidFill>
                </w14:textFill>
              </w:rPr>
            </w:pPr>
            <w:r>
              <w:rPr>
                <w:rFonts w:hint="default" w:ascii="FreeSerif" w:hAnsi="FreeSerif" w:eastAsia="方正仿宋_GBK" w:cs="FreeSerif"/>
                <w:color w:val="000000" w:themeColor="text1"/>
                <w:sz w:val="24"/>
                <w:szCs w:val="24"/>
                <w14:textFill>
                  <w14:solidFill>
                    <w14:schemeClr w14:val="tx1"/>
                  </w14:solidFill>
                </w14:textFill>
              </w:rPr>
              <w:t>5</w:t>
            </w:r>
          </w:p>
        </w:tc>
        <w:tc>
          <w:tcPr>
            <w:tcW w:w="0" w:type="auto"/>
            <w:noWrap/>
            <w:vAlign w:val="center"/>
          </w:tcPr>
          <w:p>
            <w:pPr>
              <w:jc w:val="center"/>
              <w:rPr>
                <w:rFonts w:hint="default" w:ascii="FreeSerif" w:hAnsi="FreeSerif" w:eastAsia="方正仿宋_GBK" w:cs="FreeSerif"/>
                <w:color w:val="000000" w:themeColor="text1"/>
                <w:sz w:val="24"/>
                <w:szCs w:val="24"/>
                <w14:textFill>
                  <w14:solidFill>
                    <w14:schemeClr w14:val="tx1"/>
                  </w14:solidFill>
                </w14:textFill>
              </w:rPr>
            </w:pPr>
            <w:r>
              <w:rPr>
                <w:rFonts w:hint="default" w:ascii="FreeSerif" w:hAnsi="FreeSerif" w:eastAsia="方正仿宋_GBK" w:cs="FreeSerif"/>
                <w:color w:val="000000" w:themeColor="text1"/>
                <w:sz w:val="24"/>
                <w:szCs w:val="24"/>
                <w14:textFill>
                  <w14:solidFill>
                    <w14:schemeClr w14:val="tx1"/>
                  </w14:solidFill>
                </w14:textFill>
              </w:rPr>
              <w:t>95</w:t>
            </w:r>
          </w:p>
        </w:tc>
      </w:tr>
    </w:tbl>
    <w:p>
      <w:pPr>
        <w:keepNext w:val="0"/>
        <w:keepLines w:val="0"/>
        <w:pageBreakBefore w:val="0"/>
        <w:widowControl w:val="0"/>
        <w:kinsoku/>
        <w:wordWrap/>
        <w:overflowPunct w:val="0"/>
        <w:topLinePunct w:val="0"/>
        <w:autoSpaceDE/>
        <w:autoSpaceDN/>
        <w:bidi w:val="0"/>
        <w:adjustRightInd/>
        <w:snapToGrid/>
        <w:spacing w:beforeAutospacing="0"/>
        <w:ind w:firstLine="420" w:firstLineChars="200"/>
        <w:jc w:val="center"/>
        <w:textAlignment w:val="auto"/>
        <w:rPr>
          <w:rFonts w:hint="default" w:ascii="FreeSerif" w:hAnsi="FreeSerif" w:eastAsia="仿宋_GB2312" w:cs="FreeSerif"/>
          <w:sz w:val="28"/>
        </w:rPr>
      </w:pPr>
      <w:r>
        <w:rPr>
          <w:rFonts w:hint="default" w:ascii="FreeSerif" w:hAnsi="FreeSerif" w:cs="FreeSerif"/>
        </w:rPr>
        <w:drawing>
          <wp:inline distT="0" distB="0" distL="114300" distR="114300">
            <wp:extent cx="3534410" cy="2800985"/>
            <wp:effectExtent l="4445" t="4445" r="23495" b="1397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after="100" w:afterAutospacing="1"/>
        <w:jc w:val="center"/>
        <w:rPr>
          <w:rFonts w:hint="default" w:ascii="FreeSerif" w:hAnsi="FreeSerif" w:eastAsia="方正楷体_GBK" w:cs="FreeSerif"/>
          <w:sz w:val="24"/>
          <w:szCs w:val="24"/>
        </w:rPr>
      </w:pPr>
      <w:r>
        <w:rPr>
          <w:rFonts w:hint="default" w:ascii="FreeSerif" w:hAnsi="FreeSerif" w:eastAsia="方正楷体_GBK" w:cs="FreeSerif"/>
          <w:sz w:val="24"/>
          <w:szCs w:val="24"/>
        </w:rPr>
        <w:t>图2</w:t>
      </w:r>
      <w:r>
        <w:rPr>
          <w:rFonts w:hint="default" w:ascii="FreeSerif" w:hAnsi="FreeSerif" w:eastAsia="方正楷体_GBK" w:cs="FreeSerif"/>
          <w:sz w:val="24"/>
          <w:szCs w:val="24"/>
          <w:lang w:val="en-US"/>
        </w:rPr>
        <w:t>－</w:t>
      </w:r>
      <w:r>
        <w:rPr>
          <w:rFonts w:hint="default" w:ascii="FreeSerif" w:hAnsi="FreeSerif" w:eastAsia="方正楷体_GBK" w:cs="FreeSerif"/>
          <w:sz w:val="24"/>
          <w:szCs w:val="24"/>
        </w:rPr>
        <w:t>6 各行政区危险货物道路运输车辆数占比</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上可知，车辆数在各行政区分布有明显的不均衡性，绝大多数车辆都隶属于洮北区，占总车辆数67%，其次为通榆县，占总车辆数23%，洮南市和大安市各占比5%。该情况与2.3节所得到的各县（市、区）行政区企业数大致走向一致。</w:t>
      </w:r>
      <w:bookmarkEnd w:id="36"/>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59" w:name="_Toc71998608"/>
      <w:bookmarkStart w:id="60" w:name="_Toc1584539212"/>
      <w:r>
        <w:rPr>
          <w:rFonts w:hint="default" w:ascii="FreeSerif" w:hAnsi="FreeSerif" w:eastAsia="方正楷体_GBK" w:cs="FreeSerif"/>
          <w:sz w:val="32"/>
          <w:szCs w:val="32"/>
        </w:rPr>
        <w:t>2.5管理状况</w:t>
      </w:r>
      <w:bookmarkEnd w:id="59"/>
      <w:bookmarkEnd w:id="60"/>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近年来，我国危险货物道路运输管理持续加强，安全形势持续向好，但事故频发的势头没有得到根本性遏制，形势依然严峻。多次大型事故暴露出危险货物道路运输还存在事中事后监管制度不健全、企业准入机制不完善等突出问题和短板。</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2019年11月，</w:t>
      </w:r>
      <w:r>
        <w:rPr>
          <w:rFonts w:hint="default" w:ascii="FreeSerif" w:hAnsi="FreeSerif" w:eastAsia="方正仿宋_GBK" w:cs="FreeSerif"/>
          <w:b w:val="0"/>
          <w:bCs w:val="0"/>
          <w:sz w:val="32"/>
          <w:szCs w:val="32"/>
        </w:rPr>
        <w:t>交通运输部联合相关部门发布了《危险货物道路运输安全管理办法</w:t>
      </w:r>
      <w:r>
        <w:rPr>
          <w:rFonts w:hint="default" w:ascii="FreeSerif" w:hAnsi="FreeSerif" w:eastAsia="方正仿宋_GBK" w:cs="FreeSerif"/>
          <w:sz w:val="32"/>
          <w:szCs w:val="32"/>
        </w:rPr>
        <w:t>》，界定了危险货物道路运输托运人、承运人、装货人等参与方责任，明确了交通运输、工信、公安、生态环境、应急、市场监管等六部门监管职责。同时，交通部还部署推进了危险货物道路运输安全监管信息系统建设及运单电子化工作，修订了《道路运输车辆技术管理规定》《道路运输车辆动态监督管理规定》等部门规章。</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党中央、国务院高度重视危险货物运输安全管理工作。习近平总书记强调：“要加强交通运输、危险化学品等重点领域安全生产治理，遏制重特大事故的发生”。李克强总理在全国深化“放管服”改革优化营商环境电视电话会议上指出：“要守好安全和质量底线。疫苗、药品、特种设备、危险化学品等领域，关系到人民群众身体健康和生命安全，不能仅仅依靠随机抽查、飞行检查，必须实行全主体、全品种、全链条的严格监管，落实监管责任，把好每一道关口”。《中华人民共和国安全生产法》以及中共中央、国务院关于全面加强危险化学品安全生产工作、深化“放管服”改革、推进国家治理体系和治理能</w:t>
      </w:r>
      <w:r>
        <w:rPr>
          <w:rFonts w:hint="default" w:ascii="FreeSerif" w:hAnsi="FreeSerif" w:eastAsia="方正仿宋_GBK" w:cs="FreeSerif"/>
          <w:sz w:val="32"/>
          <w:szCs w:val="32"/>
        </w:rPr>
        <w:t>力现代化、加强和规范事中事后监管、营造更好发展环境支持民营企业改革发展等都对危险货物道路运输管理提出了更高要求。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吉林省道路运输安全相关文件如下：</w:t>
      </w:r>
    </w:p>
    <w:p>
      <w:pPr>
        <w:keepNext w:val="0"/>
        <w:keepLines w:val="0"/>
        <w:pageBreakBefore w:val="0"/>
        <w:widowControl w:val="0"/>
        <w:kinsoku/>
        <w:wordWrap/>
        <w:overflowPunct w:val="0"/>
        <w:topLinePunct w:val="0"/>
        <w:autoSpaceDE/>
        <w:autoSpaceDN/>
        <w:bidi w:val="0"/>
        <w:adjustRightInd/>
        <w:snapToGrid/>
        <w:spacing w:line="578" w:lineRule="exact"/>
        <w:ind w:left="105" w:leftChars="50"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《吉林省道路运输领域安全生产监督检查指导手册》（2020年）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《吉林省道路危险货物运输专项整治实施方案》（2019</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2022年）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《吉林省危险化学品道路运输安全集中整治实施方案》（2020年）</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lang w:eastAsia="zh-CN"/>
        </w:rPr>
      </w:pPr>
      <w:bookmarkStart w:id="61" w:name="_Toc71998609"/>
      <w:bookmarkStart w:id="62" w:name="_Toc1895727418"/>
      <w:r>
        <w:rPr>
          <w:rFonts w:hint="default" w:ascii="FreeSerif" w:hAnsi="FreeSerif" w:eastAsia="方正楷体_GBK" w:cs="FreeSerif"/>
          <w:sz w:val="32"/>
          <w:szCs w:val="32"/>
        </w:rPr>
        <w:t>2.6问题分析</w:t>
      </w:r>
      <w:bookmarkEnd w:id="61"/>
      <w:bookmarkEnd w:id="6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虽然近年来白城市危险货物道路运输管理持续加强，但在管理制度、企业规模、设施和相关技术及运输市场监管中仍存在一些问题。</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2.6.1</w:t>
      </w:r>
      <w:r>
        <w:rPr>
          <w:rFonts w:hint="default" w:ascii="FreeSerif" w:hAnsi="FreeSerif" w:eastAsia="方正仿宋_GBK" w:cs="FreeSerif"/>
          <w:sz w:val="32"/>
          <w:szCs w:val="32"/>
        </w:rPr>
        <w:t>企</w:t>
      </w:r>
      <w:r>
        <w:rPr>
          <w:rFonts w:hint="eastAsia" w:ascii="方正仿宋_GBK" w:hAnsi="方正仿宋_GBK" w:eastAsia="方正仿宋_GBK" w:cs="方正仿宋_GBK"/>
          <w:sz w:val="32"/>
          <w:szCs w:val="32"/>
        </w:rPr>
        <w:t>业规模化经营程度低</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从调查看，白城市危险货物道路运输行业总体呈现“散、小、弱”的</w:t>
      </w:r>
      <w:r>
        <w:rPr>
          <w:rFonts w:hint="default" w:ascii="FreeSerif" w:hAnsi="FreeSerif" w:eastAsia="方正仿宋_GBK" w:cs="FreeSerif"/>
          <w:sz w:val="32"/>
          <w:szCs w:val="32"/>
        </w:rPr>
        <w:t>特点，绝大部分危险货物道路运输企业规模小，全市10户企业，拥有10台车辆以下企业有6户，占企业总数的60%，由于企业经营规模小，这些企业在一定程度上存在安全管理机构不健全、安全管理人员少、安全生产投入不足和专业化水平不高等问题，严重制约了企业安全水平的提升，影响企业安全生产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2.6.2</w:t>
      </w:r>
      <w:r>
        <w:rPr>
          <w:rFonts w:hint="default" w:ascii="FreeSerif" w:hAnsi="FreeSerif" w:eastAsia="方正仿宋_GBK" w:cs="FreeSerif"/>
          <w:sz w:val="32"/>
          <w:szCs w:val="32"/>
        </w:rPr>
        <w:t>部分企业存在安全生产隐患</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白城市道路危险货物运输企业在经营条件和日常安全管理等方面不同程度地存在以下问题：企业负责人和安全管理人员缺乏安全意识，安全员流动性大；企业安全生产资金投入不足，使用管理不规范；安全生产隐患排查走过场，形式化；企业从业人员安全教育培训不达标；车辆定期维护、保养、</w:t>
      </w:r>
      <w:r>
        <w:rPr>
          <w:rFonts w:hint="eastAsia" w:ascii="方正仿宋_GBK" w:hAnsi="方正仿宋_GBK" w:eastAsia="方正仿宋_GBK" w:cs="方正仿宋_GBK"/>
          <w:sz w:val="32"/>
          <w:szCs w:val="32"/>
        </w:rPr>
        <w:t>“三检”制</w:t>
      </w:r>
      <w:r>
        <w:rPr>
          <w:rFonts w:hint="default" w:ascii="FreeSerif" w:hAnsi="FreeSerif" w:eastAsia="方正仿宋_GBK" w:cs="FreeSerif"/>
          <w:sz w:val="32"/>
          <w:szCs w:val="32"/>
        </w:rPr>
        <w:t>度落实不到位；车辆不</w:t>
      </w:r>
      <w:r>
        <w:rPr>
          <w:rFonts w:hint="default" w:ascii="FreeSerif" w:hAnsi="FreeSerif" w:eastAsia="方正仿宋_GBK" w:cs="FreeSerif"/>
          <w:sz w:val="32"/>
          <w:szCs w:val="32"/>
          <w:lang w:val="en"/>
        </w:rPr>
        <w:t>在</w:t>
      </w:r>
      <w:r>
        <w:rPr>
          <w:rFonts w:hint="default" w:ascii="FreeSerif" w:hAnsi="FreeSerif" w:eastAsia="方正仿宋_GBK" w:cs="FreeSerif"/>
          <w:sz w:val="32"/>
          <w:szCs w:val="32"/>
        </w:rPr>
        <w:t>指定停车场停放现象也时有发生，这些问题造成了企业安全生产隐患依然存在。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2.6.3</w:t>
      </w:r>
      <w:r>
        <w:rPr>
          <w:rFonts w:hint="default" w:ascii="FreeSerif" w:hAnsi="FreeSerif" w:eastAsia="方正仿宋_GBK" w:cs="FreeSerif"/>
          <w:sz w:val="32"/>
          <w:szCs w:val="32"/>
        </w:rPr>
        <w:t>车辆异地经营安全监管存在盲区</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当前，白城市危险货物运输市场存在部分异地营运车辆，即车辆运行起讫点均不在车辆登记市辖区内的外地危险货物运输车辆。由于存在其他地区车辆在白城市运输危险品，导致本地虽第二类和第三类危险品运输需求较大，但在案运输车辆并不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sectPr>
          <w:footerReference r:id="rId5" w:type="default"/>
          <w:pgSz w:w="11906" w:h="16838"/>
          <w:pgMar w:top="2041" w:right="1531" w:bottom="2041" w:left="1531" w:header="851" w:footer="1672" w:gutter="0"/>
          <w:pgNumType w:fmt="decimal" w:start="3"/>
          <w:cols w:space="425" w:num="1"/>
          <w:docGrid w:type="lines" w:linePitch="312" w:charSpace="0"/>
        </w:sectPr>
      </w:pPr>
      <w:r>
        <w:rPr>
          <w:rFonts w:hint="default" w:ascii="FreeSerif" w:hAnsi="FreeSerif" w:eastAsia="方正仿宋_GBK" w:cs="FreeSerif"/>
          <w:sz w:val="32"/>
          <w:szCs w:val="32"/>
        </w:rPr>
        <w:t>根据《道路危险货物运输管理条例》第五十一条之规定，道路危险货物运输企业异地经营（运输线路起讫点均不在企业注册地市域内）累计3个月以上的，应当向经营地设区的市级道路运输管理机构备案并接受其监管。由于异地经营是否已累计3个月难以判定、监管责任难以划分等因素影响，车辆异地经营监管难度大。虽然监管部门通过车辆视频监控、电子运单管理等信息技术，可以通过信息化手段实现远程数字化监管，一定程度上可以达到异地备案制度的实施效果，但是由于联合监管机制不完善，车辆所属企业动态监控管理存在不到位问题，使得行业主管部门对于这些车辆和企业难以监管到位，导致危险货物道路运输生产过程中存在安全隐患。</w:t>
      </w:r>
    </w:p>
    <w:p>
      <w:pPr>
        <w:keepNext w:val="0"/>
        <w:keepLines w:val="0"/>
        <w:pageBreakBefore w:val="0"/>
        <w:widowControl w:val="0"/>
        <w:kinsoku/>
        <w:wordWrap/>
        <w:overflowPunct w:val="0"/>
        <w:topLinePunct w:val="0"/>
        <w:autoSpaceDE/>
        <w:autoSpaceDN/>
        <w:bidi w:val="0"/>
        <w:adjustRightInd/>
        <w:snapToGrid/>
        <w:spacing w:line="578" w:lineRule="exact"/>
        <w:jc w:val="center"/>
        <w:textAlignment w:val="auto"/>
        <w:outlineLvl w:val="0"/>
        <w:rPr>
          <w:rFonts w:hint="default" w:ascii="FreeSerif" w:hAnsi="FreeSerif" w:eastAsia="方正黑体_GBK" w:cs="FreeSerif"/>
          <w:sz w:val="32"/>
          <w:szCs w:val="32"/>
        </w:rPr>
      </w:pPr>
      <w:bookmarkStart w:id="63" w:name="_Toc71998610"/>
      <w:bookmarkStart w:id="64" w:name="_Toc489390306"/>
      <w:r>
        <w:rPr>
          <w:rFonts w:hint="default" w:ascii="FreeSerif" w:hAnsi="FreeSerif" w:eastAsia="方正黑体_GBK" w:cs="FreeSerif"/>
          <w:sz w:val="32"/>
          <w:szCs w:val="32"/>
        </w:rPr>
        <w:t>第</w:t>
      </w:r>
      <w:r>
        <w:rPr>
          <w:rFonts w:hint="default" w:ascii="FreeSerif" w:hAnsi="FreeSerif" w:eastAsia="方正黑体_GBK" w:cs="FreeSerif"/>
          <w:sz w:val="32"/>
          <w:szCs w:val="32"/>
          <w:lang w:eastAsia="zh-CN"/>
        </w:rPr>
        <w:t>三</w:t>
      </w:r>
      <w:r>
        <w:rPr>
          <w:rFonts w:hint="default" w:ascii="FreeSerif" w:hAnsi="FreeSerif" w:eastAsia="方正黑体_GBK" w:cs="FreeSerif"/>
          <w:sz w:val="32"/>
          <w:szCs w:val="32"/>
        </w:rPr>
        <w:t>章 危险货物道路运输行业供需现状</w:t>
      </w:r>
      <w:bookmarkEnd w:id="63"/>
      <w:r>
        <w:rPr>
          <w:rFonts w:hint="default" w:ascii="FreeSerif" w:hAnsi="FreeSerif" w:eastAsia="方正黑体_GBK" w:cs="FreeSerif"/>
          <w:sz w:val="32"/>
          <w:szCs w:val="32"/>
        </w:rPr>
        <w:t>分析</w:t>
      </w:r>
      <w:bookmarkEnd w:id="64"/>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随着白城市国民经济的发展，道路运输行业保持了多年持续增长。白城市国民经济和社会大部分行业的生产经营活动均离不开使用各类危险化学品，危险货物道路运输行业也在快速发展。</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由于历史原因，白城市危险货物道路运输市场仍存在一些问题，如企业规模小、经营分散和异地车运输等，增加了管理部门的监管难度，也加大了危险货物道路运输行业系统性风险。</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为加快白城市危险货物道路运输行业规模化与集约化进程，使其安全、规范、有序经营，并基本符合市场供需要求，特对白城市该行业进行市场供需调查与分析，以制定相应的调控措施，实现科学监管。</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65" w:name="_Toc71998611"/>
      <w:bookmarkStart w:id="66" w:name="_Toc1861135990"/>
      <w:r>
        <w:rPr>
          <w:rFonts w:hint="default" w:ascii="FreeSerif" w:hAnsi="FreeSerif" w:eastAsia="方正楷体_GBK" w:cs="FreeSerif"/>
          <w:sz w:val="32"/>
          <w:szCs w:val="32"/>
        </w:rPr>
        <w:t>3.1 危险货物道路运输企业现状分析</w:t>
      </w:r>
      <w:bookmarkEnd w:id="65"/>
      <w:bookmarkEnd w:id="66"/>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危险货物道路运输企业均为经营性企业，经营类别主要集中在第二类和第三类，企业占比分别为80%和40%。企业规模50辆车以下的占100%，其中10辆及以下的占60%，这些数据说明白城市危险货物道路运输企业规模小，与行业规模化与集约化经营的要求还有一定距离。</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2021年白城市危险货物供给与需求处于持续增长态势，运力供给主要集中在第二类（气体—包括压缩气体和液化气体）和第三类（易燃液体）。</w:t>
      </w:r>
      <w:bookmarkStart w:id="67" w:name="_Toc7199861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68" w:name="_Toc484009956"/>
      <w:r>
        <w:rPr>
          <w:rFonts w:hint="default" w:ascii="FreeSerif" w:hAnsi="FreeSerif" w:eastAsia="方正楷体_GBK" w:cs="FreeSerif"/>
          <w:sz w:val="32"/>
          <w:szCs w:val="32"/>
        </w:rPr>
        <w:t>3.2 危险货物道路运输企业经营状况分析</w:t>
      </w:r>
      <w:bookmarkEnd w:id="67"/>
      <w:bookmarkEnd w:id="6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从对白城市主要危险货物道路运输企业的调查结果来看，供需现状主要表现在如下三个方面：</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一是各企业所经营危险品类别较少，但经营规模差距较大；二是第二类（液化石油气等）运输市场竞争激烈；三是第三类成品油运输市场供需两旺，市场保持有序竞争状况。</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造成上述危险货物道路运输市场发展不平衡的原因是多方面的，其中主要原因是：市场需求导向性，如工业气体和成品油需求旺盛，此类运输市场需要注意引导和调控，使其保持有序竞争状态。</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69" w:name="_Toc10372908"/>
      <w:bookmarkStart w:id="70" w:name="_Toc71998613"/>
      <w:r>
        <w:rPr>
          <w:rFonts w:hint="default" w:ascii="FreeSerif" w:hAnsi="FreeSerif" w:eastAsia="方正楷体_GBK" w:cs="FreeSerif"/>
          <w:sz w:val="32"/>
          <w:szCs w:val="32"/>
        </w:rPr>
        <w:t>3.3 危险货物道路运输供需现状分析</w:t>
      </w:r>
      <w:bookmarkEnd w:id="69"/>
      <w:bookmarkEnd w:id="70"/>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目前，白城市生产、生活涉及第一类（烟花爆竹等爆炸品）、第二类（压缩气体和液化气体）、第三类（易燃液体）、第六类（感染性物质等）、第八类（硫酸等腐蚀品）和第九类（危险废物等其他危险品）类别危险品。白城市的危险货物道路运输企业正在运营的危险货物车辆可承担以上部分危险品的道路运输，白城市道路危险货物运输需求分析如下。</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第一类（爆炸品）、第六类（感染性物质）和第九类（其他危险品）皆具有垄断运输的特征，几乎不存在竞争。白城市经营第九类危险品道路运输的企业现有一家，经营状况一直稳定，目前白城市尚无经营第一类、第六类危险品的道路运输企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第二类（液化石油气等气体等）危险品道路运输市场竞争激烈；第三类（成品油等）危险品道路运输市场供需两旺，市场保持有序竞争状况。第八类（硫酸等）危险品有持续、稳定的运输需求，但目前白城市尚无一家企业经营该类危险品道路运输。</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第二类（工业气体等）和第三类（成品油等）危险品运输需求旺盛，此类运输市场需注意引导和调控，使其保持有序竞争状态。而垄断经营的企业，如爆炸品、感染性物品和其他危险品等道路运输企业，则应受到严格管制与调控。</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3.3.1 第一类爆炸品（炸药、烟花爆竹等）</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近年来白城市第一类爆炸品（炸药类和雷管类）使用情况来看，爆炸品使用量一直比较稳定，结合“陆上风光三峡”工程等大型新能源项目和新能源装备制造类项目的建设要求，预计未来几年白城市第一类爆炸品仍有稳定的运输需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另外，白城市近年来烟花爆竹经销企业对第一类危险品的用量和产销量也呈稳定态势。目前，白城市烟花爆竹经营企业（含生产、销售和使用）共有18家，皆由公安部门严格管控，但尚无一家第一类爆炸品运输企业。因此，白城市此类危险货物道路运输市场需求状况相对保持稳定，行业管理部门可择机释放运力，保障运输供给。</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71" w:name="_Toc85706133"/>
      <w:bookmarkStart w:id="72" w:name="_Toc71998614"/>
      <w:bookmarkStart w:id="73" w:name="_Toc86007817"/>
      <w:bookmarkStart w:id="74" w:name="_Toc86007954"/>
      <w:r>
        <w:rPr>
          <w:rFonts w:hint="default" w:ascii="FreeSerif" w:hAnsi="FreeSerif" w:eastAsia="方正仿宋_GBK" w:cs="FreeSerif"/>
          <w:sz w:val="32"/>
          <w:szCs w:val="32"/>
        </w:rPr>
        <w:t xml:space="preserve">3.3.2 </w:t>
      </w:r>
      <w:bookmarkEnd w:id="71"/>
      <w:bookmarkEnd w:id="72"/>
      <w:bookmarkEnd w:id="73"/>
      <w:bookmarkEnd w:id="74"/>
      <w:r>
        <w:rPr>
          <w:rFonts w:hint="default" w:ascii="FreeSerif" w:hAnsi="FreeSerif" w:eastAsia="方正仿宋_GBK" w:cs="FreeSerif"/>
          <w:sz w:val="32"/>
          <w:szCs w:val="32"/>
        </w:rPr>
        <w:t>第二类压缩气体（天然气、工业气体等）</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仿宋_GB2312" w:cs="FreeSerif"/>
          <w:sz w:val="24"/>
          <w:szCs w:val="24"/>
        </w:rPr>
      </w:pPr>
      <w:r>
        <w:rPr>
          <w:rFonts w:hint="default" w:ascii="FreeSerif" w:hAnsi="FreeSerif" w:eastAsia="方正仿宋_GBK" w:cs="FreeSerif"/>
          <w:sz w:val="32"/>
          <w:szCs w:val="32"/>
        </w:rPr>
        <w:t>白城市2019年</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2021年第二类危险品生产、销售和使用量见表</w:t>
      </w:r>
      <w:r>
        <w:rPr>
          <w:rFonts w:hint="default" w:ascii="FreeSerif" w:hAnsi="FreeSerif" w:eastAsia="仿宋_GB2312" w:cs="FreeSerif"/>
          <w:sz w:val="28"/>
          <w:szCs w:val="28"/>
        </w:rPr>
        <w:t>3</w:t>
      </w:r>
      <w:r>
        <w:rPr>
          <w:rFonts w:hint="default" w:ascii="FreeSerif" w:hAnsi="FreeSerif" w:eastAsia="仿宋" w:cs="FreeSerif"/>
          <w:sz w:val="28"/>
          <w:szCs w:val="28"/>
        </w:rPr>
        <w:t>—</w:t>
      </w:r>
      <w:r>
        <w:rPr>
          <w:rFonts w:hint="default" w:ascii="FreeSerif" w:hAnsi="FreeSerif" w:eastAsia="仿宋_GB2312" w:cs="FreeSerif"/>
          <w:sz w:val="28"/>
          <w:szCs w:val="28"/>
        </w:rPr>
        <w:t>1。</w:t>
      </w:r>
    </w:p>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1  2019</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2021年第二类危险品生产、销售和使用量</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1972"/>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2276" w:type="dxa"/>
            <w:tcMar>
              <w:left w:w="0" w:type="dxa"/>
              <w:right w:w="0" w:type="dxa"/>
            </w:tcMar>
            <w:vAlign w:val="center"/>
          </w:tcPr>
          <w:p>
            <w:pPr>
              <w:jc w:val="center"/>
              <w:rPr>
                <w:rFonts w:hint="default" w:ascii="FreeSerif" w:hAnsi="FreeSerif" w:eastAsia="方正黑体_GBK" w:cs="FreeSerif"/>
                <w:b/>
                <w:sz w:val="20"/>
                <w:szCs w:val="20"/>
              </w:rPr>
            </w:pPr>
            <w:r>
              <w:rPr>
                <w:rFonts w:hint="default" w:ascii="FreeSerif" w:hAnsi="FreeSerif" w:eastAsia="方正黑体_GBK" w:cs="FreeSerif"/>
                <w:b/>
                <w:sz w:val="20"/>
                <w:szCs w:val="20"/>
              </w:rPr>
              <w:t>年份</w:t>
            </w:r>
          </w:p>
        </w:tc>
        <w:tc>
          <w:tcPr>
            <w:tcW w:w="1972" w:type="dxa"/>
            <w:tcMar>
              <w:left w:w="0" w:type="dxa"/>
              <w:right w:w="0" w:type="dxa"/>
            </w:tcMar>
            <w:vAlign w:val="center"/>
          </w:tcPr>
          <w:p>
            <w:pPr>
              <w:jc w:val="center"/>
              <w:rPr>
                <w:rFonts w:hint="default" w:ascii="FreeSerif" w:hAnsi="FreeSerif" w:eastAsia="方正黑体_GBK" w:cs="FreeSerif"/>
                <w:bCs/>
                <w:sz w:val="20"/>
                <w:szCs w:val="20"/>
              </w:rPr>
            </w:pPr>
            <w:r>
              <w:rPr>
                <w:rFonts w:hint="default" w:ascii="FreeSerif" w:hAnsi="FreeSerif" w:eastAsia="方正黑体_GBK" w:cs="FreeSerif"/>
                <w:bCs/>
                <w:sz w:val="20"/>
                <w:szCs w:val="20"/>
              </w:rPr>
              <w:t>2019</w:t>
            </w:r>
          </w:p>
        </w:tc>
        <w:tc>
          <w:tcPr>
            <w:tcW w:w="2126" w:type="dxa"/>
            <w:tcMar>
              <w:left w:w="0" w:type="dxa"/>
              <w:right w:w="0" w:type="dxa"/>
            </w:tcMar>
            <w:vAlign w:val="center"/>
          </w:tcPr>
          <w:p>
            <w:pPr>
              <w:jc w:val="center"/>
              <w:rPr>
                <w:rFonts w:hint="default" w:ascii="FreeSerif" w:hAnsi="FreeSerif" w:eastAsia="方正黑体_GBK" w:cs="FreeSerif"/>
                <w:bCs/>
                <w:sz w:val="20"/>
                <w:szCs w:val="20"/>
              </w:rPr>
            </w:pPr>
            <w:r>
              <w:rPr>
                <w:rFonts w:hint="default" w:ascii="FreeSerif" w:hAnsi="FreeSerif" w:eastAsia="方正黑体_GBK" w:cs="FreeSerif"/>
                <w:bCs/>
                <w:sz w:val="20"/>
                <w:szCs w:val="20"/>
              </w:rPr>
              <w:t>2020</w:t>
            </w:r>
          </w:p>
        </w:tc>
        <w:tc>
          <w:tcPr>
            <w:tcW w:w="2126" w:type="dxa"/>
            <w:tcMar>
              <w:left w:w="0" w:type="dxa"/>
              <w:right w:w="0" w:type="dxa"/>
            </w:tcMar>
            <w:vAlign w:val="center"/>
          </w:tcPr>
          <w:p>
            <w:pPr>
              <w:jc w:val="center"/>
              <w:rPr>
                <w:rFonts w:hint="default" w:ascii="FreeSerif" w:hAnsi="FreeSerif" w:eastAsia="方正黑体_GBK" w:cs="FreeSerif"/>
                <w:bCs/>
                <w:sz w:val="20"/>
                <w:szCs w:val="20"/>
              </w:rPr>
            </w:pPr>
            <w:r>
              <w:rPr>
                <w:rFonts w:hint="default" w:ascii="FreeSerif" w:hAnsi="FreeSerif" w:eastAsia="方正黑体_GBK" w:cs="FreeSerif"/>
                <w:bCs/>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2276" w:type="dxa"/>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FreeSerif" w:hAnsi="FreeSerif" w:eastAsia="方正仿宋_GBK" w:cs="FreeSerif"/>
                <w:b w:val="0"/>
                <w:bCs w:val="0"/>
                <w:szCs w:val="21"/>
              </w:rPr>
            </w:pPr>
            <w:r>
              <w:rPr>
                <w:rFonts w:hint="default" w:ascii="FreeSerif" w:hAnsi="FreeSerif" w:eastAsia="方正仿宋_GBK" w:cs="FreeSerif"/>
                <w:b w:val="0"/>
                <w:bCs w:val="0"/>
                <w:sz w:val="21"/>
                <w:szCs w:val="21"/>
              </w:rPr>
              <w:t>产、销、用量（万吨）</w:t>
            </w:r>
          </w:p>
        </w:tc>
        <w:tc>
          <w:tcPr>
            <w:tcW w:w="1972" w:type="dxa"/>
            <w:tcMar>
              <w:left w:w="0" w:type="dxa"/>
              <w:right w:w="0" w:type="dxa"/>
            </w:tcMar>
            <w:vAlign w:val="center"/>
          </w:tcPr>
          <w:p>
            <w:pPr>
              <w:jc w:val="center"/>
              <w:rPr>
                <w:rFonts w:hint="default" w:ascii="FreeSerif" w:hAnsi="FreeSerif" w:eastAsia="方正仿宋_GBK" w:cs="FreeSerif"/>
                <w:bCs/>
                <w:sz w:val="20"/>
                <w:szCs w:val="20"/>
              </w:rPr>
            </w:pPr>
            <w:r>
              <w:rPr>
                <w:rFonts w:hint="default" w:ascii="FreeSerif" w:hAnsi="FreeSerif" w:eastAsia="方正仿宋_GBK" w:cs="FreeSerif"/>
                <w:bCs/>
                <w:sz w:val="20"/>
                <w:szCs w:val="20"/>
              </w:rPr>
              <w:t>6500</w:t>
            </w:r>
          </w:p>
        </w:tc>
        <w:tc>
          <w:tcPr>
            <w:tcW w:w="2126" w:type="dxa"/>
            <w:tcMar>
              <w:left w:w="0" w:type="dxa"/>
              <w:right w:w="0" w:type="dxa"/>
            </w:tcMar>
            <w:vAlign w:val="center"/>
          </w:tcPr>
          <w:p>
            <w:pPr>
              <w:jc w:val="center"/>
              <w:rPr>
                <w:rFonts w:hint="default" w:ascii="FreeSerif" w:hAnsi="FreeSerif" w:eastAsia="方正仿宋_GBK" w:cs="FreeSerif"/>
                <w:bCs/>
                <w:sz w:val="20"/>
                <w:szCs w:val="20"/>
              </w:rPr>
            </w:pPr>
            <w:r>
              <w:rPr>
                <w:rFonts w:hint="default" w:ascii="FreeSerif" w:hAnsi="FreeSerif" w:eastAsia="方正仿宋_GBK" w:cs="FreeSerif"/>
                <w:bCs/>
                <w:sz w:val="20"/>
                <w:szCs w:val="20"/>
              </w:rPr>
              <w:t>6600</w:t>
            </w:r>
          </w:p>
        </w:tc>
        <w:tc>
          <w:tcPr>
            <w:tcW w:w="2126" w:type="dxa"/>
            <w:tcMar>
              <w:left w:w="0" w:type="dxa"/>
              <w:right w:w="0" w:type="dxa"/>
            </w:tcMar>
            <w:vAlign w:val="center"/>
          </w:tcPr>
          <w:p>
            <w:pPr>
              <w:jc w:val="center"/>
              <w:rPr>
                <w:rFonts w:hint="default" w:ascii="FreeSerif" w:hAnsi="FreeSerif" w:eastAsia="方正仿宋_GBK" w:cs="FreeSerif"/>
                <w:bCs/>
                <w:sz w:val="20"/>
                <w:szCs w:val="20"/>
              </w:rPr>
            </w:pPr>
            <w:r>
              <w:rPr>
                <w:rFonts w:hint="default" w:ascii="FreeSerif" w:hAnsi="FreeSerif" w:eastAsia="方正仿宋_GBK" w:cs="FreeSerif"/>
                <w:bCs/>
                <w:sz w:val="20"/>
                <w:szCs w:val="20"/>
              </w:rPr>
              <w:t>6700</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如上表可知近三年来白城市对第二类危险品的经营需求呈持续增长趋势。而目前本地第二类危险品运输车辆无法充分满足该运输需求，原因在于白城市存在大量异地经营车辆运输该类危险品。</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期间，白城市重点打造区域中心城、生态经济先导区、乡村振兴创新区和生态文明示范区“一城三区”，做大做强农产品加工和清洁能源两大支柱产业，巩固提升装备制造、医药健康、现代物流、冶金建材四大优势产业，加快工业经济提速转型，这将大大增加工业气体的运输需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目前，白城市正在抢占氢能全链条产业发展制高点，实现在制氢、储氢、运氢、用氢全环节布局，构建氢能经济生态系统完整性发展。其中吉林西部（大安）清洁能源化工产业园预计于2030年基本形成主导产业链条</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于2035年基本完成系统性建设。届时产业园内氢能源生产规模将达到2万吨/年。除去园内氢能源产业链消耗，仍有4000吨氢气以管拖车短距离气态运输方式，在经济半径200~300km以内运输。</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此外，2022年在建的白城分布式发电制氢加氢一体化示范项目为白城市风光制氢试验项目。该项目制氢加氢站位于白城工业园区。根据测算该项目年产氢气量可达到295吨。这将增加白城市对第二类危险品的运输需求。面对第二类危险品运力现供不应求的局面，白城市可在2022年</w:t>
      </w:r>
      <w:r>
        <w:rPr>
          <w:rFonts w:hint="default" w:ascii="FreeSerif" w:hAnsi="FreeSerif" w:eastAsia="仿宋" w:cs="FreeSerif"/>
          <w:sz w:val="32"/>
          <w:szCs w:val="32"/>
        </w:rPr>
        <w:t>—</w:t>
      </w:r>
      <w:r>
        <w:rPr>
          <w:rFonts w:hint="default" w:ascii="FreeSerif" w:hAnsi="FreeSerif" w:eastAsia="方正仿宋_GBK" w:cs="FreeSerif"/>
          <w:sz w:val="32"/>
          <w:szCs w:val="32"/>
        </w:rPr>
        <w:t>2030年增加该类危险品运力指标的释放。</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75" w:name="_Toc86007818"/>
      <w:bookmarkStart w:id="76" w:name="_Toc85706134"/>
      <w:bookmarkStart w:id="77" w:name="_Toc86007955"/>
      <w:bookmarkStart w:id="78" w:name="_Toc71998615"/>
      <w:r>
        <w:rPr>
          <w:rFonts w:hint="default" w:ascii="FreeSerif" w:hAnsi="FreeSerif" w:eastAsia="方正仿宋_GBK" w:cs="FreeSerif"/>
          <w:sz w:val="32"/>
          <w:szCs w:val="32"/>
        </w:rPr>
        <w:t xml:space="preserve">3.3.3 </w:t>
      </w:r>
      <w:bookmarkEnd w:id="75"/>
      <w:bookmarkEnd w:id="76"/>
      <w:bookmarkEnd w:id="77"/>
      <w:bookmarkEnd w:id="78"/>
      <w:r>
        <w:rPr>
          <w:rFonts w:hint="default" w:ascii="FreeSerif" w:hAnsi="FreeSerif" w:eastAsia="方正仿宋_GBK" w:cs="FreeSerif"/>
          <w:sz w:val="32"/>
          <w:szCs w:val="32"/>
        </w:rPr>
        <w:t>第三类易燃液体（成品油等）</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第三类易燃液体以成品油（汽油、柴油）为主。白城市近三年来第三类危险品经营使用量见表3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w:t>
      </w:r>
    </w:p>
    <w:p>
      <w:pPr>
        <w:jc w:val="center"/>
        <w:rPr>
          <w:rFonts w:hint="default" w:ascii="FreeSerif" w:hAnsi="FreeSerif" w:eastAsia="仿宋" w:cs="FreeSerif"/>
          <w:sz w:val="24"/>
          <w:szCs w:val="24"/>
        </w:rPr>
      </w:pPr>
      <w:bookmarkStart w:id="79" w:name="_Hlk86574060"/>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2  2019</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2021年第三类危险品生产、销售和使用量</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7"/>
        <w:gridCol w:w="2126"/>
        <w:gridCol w:w="184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2557" w:type="dxa"/>
            <w:tcMar>
              <w:left w:w="0" w:type="dxa"/>
              <w:right w:w="0" w:type="dxa"/>
            </w:tcMar>
            <w:vAlign w:val="center"/>
          </w:tcPr>
          <w:p>
            <w:pPr>
              <w:jc w:val="center"/>
              <w:rPr>
                <w:rFonts w:hint="default" w:ascii="FreeSerif" w:hAnsi="FreeSerif" w:eastAsia="方正黑体_GBK" w:cs="FreeSerif"/>
                <w:b/>
                <w:sz w:val="20"/>
                <w:szCs w:val="20"/>
              </w:rPr>
            </w:pPr>
            <w:r>
              <w:rPr>
                <w:rFonts w:hint="default" w:ascii="FreeSerif" w:hAnsi="FreeSerif" w:eastAsia="方正黑体_GBK" w:cs="FreeSerif"/>
                <w:b/>
                <w:sz w:val="20"/>
                <w:szCs w:val="20"/>
              </w:rPr>
              <w:t>年份</w:t>
            </w:r>
          </w:p>
        </w:tc>
        <w:tc>
          <w:tcPr>
            <w:tcW w:w="2126" w:type="dxa"/>
            <w:tcMar>
              <w:left w:w="0" w:type="dxa"/>
              <w:right w:w="0" w:type="dxa"/>
            </w:tcMar>
            <w:vAlign w:val="center"/>
          </w:tcPr>
          <w:p>
            <w:pPr>
              <w:jc w:val="center"/>
              <w:rPr>
                <w:rFonts w:hint="default" w:ascii="FreeSerif" w:hAnsi="FreeSerif" w:eastAsia="方正黑体_GBK" w:cs="FreeSerif"/>
                <w:bCs/>
                <w:sz w:val="20"/>
                <w:szCs w:val="20"/>
              </w:rPr>
            </w:pPr>
            <w:r>
              <w:rPr>
                <w:rFonts w:hint="default" w:ascii="FreeSerif" w:hAnsi="FreeSerif" w:eastAsia="方正黑体_GBK" w:cs="FreeSerif"/>
                <w:bCs/>
                <w:sz w:val="20"/>
                <w:szCs w:val="20"/>
              </w:rPr>
              <w:t>2019</w:t>
            </w:r>
          </w:p>
        </w:tc>
        <w:tc>
          <w:tcPr>
            <w:tcW w:w="1843" w:type="dxa"/>
            <w:tcMar>
              <w:left w:w="0" w:type="dxa"/>
              <w:right w:w="0" w:type="dxa"/>
            </w:tcMar>
            <w:vAlign w:val="center"/>
          </w:tcPr>
          <w:p>
            <w:pPr>
              <w:jc w:val="center"/>
              <w:rPr>
                <w:rFonts w:hint="default" w:ascii="FreeSerif" w:hAnsi="FreeSerif" w:eastAsia="方正黑体_GBK" w:cs="FreeSerif"/>
                <w:bCs/>
                <w:sz w:val="20"/>
                <w:szCs w:val="20"/>
              </w:rPr>
            </w:pPr>
            <w:r>
              <w:rPr>
                <w:rFonts w:hint="default" w:ascii="FreeSerif" w:hAnsi="FreeSerif" w:eastAsia="方正黑体_GBK" w:cs="FreeSerif"/>
                <w:bCs/>
                <w:sz w:val="20"/>
                <w:szCs w:val="20"/>
              </w:rPr>
              <w:t>2020</w:t>
            </w:r>
          </w:p>
        </w:tc>
        <w:tc>
          <w:tcPr>
            <w:tcW w:w="1974" w:type="dxa"/>
            <w:tcMar>
              <w:left w:w="0" w:type="dxa"/>
              <w:right w:w="0" w:type="dxa"/>
            </w:tcMar>
            <w:vAlign w:val="center"/>
          </w:tcPr>
          <w:p>
            <w:pPr>
              <w:jc w:val="center"/>
              <w:rPr>
                <w:rFonts w:hint="default" w:ascii="FreeSerif" w:hAnsi="FreeSerif" w:eastAsia="方正黑体_GBK" w:cs="FreeSerif"/>
                <w:bCs/>
                <w:sz w:val="20"/>
                <w:szCs w:val="20"/>
              </w:rPr>
            </w:pPr>
            <w:r>
              <w:rPr>
                <w:rFonts w:hint="default" w:ascii="FreeSerif" w:hAnsi="FreeSerif" w:eastAsia="方正黑体_GBK" w:cs="FreeSerif"/>
                <w:bCs/>
                <w:sz w:val="20"/>
                <w:szCs w:val="20"/>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2557" w:type="dxa"/>
            <w:tcMar>
              <w:left w:w="0" w:type="dxa"/>
              <w:right w:w="0" w:type="dxa"/>
            </w:tcMar>
            <w:vAlign w:val="center"/>
          </w:tcPr>
          <w:p>
            <w:pPr>
              <w:jc w:val="center"/>
              <w:rPr>
                <w:rFonts w:hint="default" w:ascii="FreeSerif" w:hAnsi="FreeSerif" w:eastAsia="方正仿宋_GBK" w:cs="FreeSerif"/>
                <w:b/>
                <w:bCs/>
                <w:szCs w:val="21"/>
              </w:rPr>
            </w:pPr>
            <w:r>
              <w:rPr>
                <w:rFonts w:hint="default" w:ascii="FreeSerif" w:hAnsi="FreeSerif" w:eastAsia="方正仿宋_GBK" w:cs="FreeSerif"/>
                <w:b w:val="0"/>
                <w:bCs w:val="0"/>
                <w:szCs w:val="21"/>
              </w:rPr>
              <w:t>产、销、用量（万吨）</w:t>
            </w:r>
          </w:p>
        </w:tc>
        <w:tc>
          <w:tcPr>
            <w:tcW w:w="2126" w:type="dxa"/>
            <w:tcMar>
              <w:left w:w="0" w:type="dxa"/>
              <w:right w:w="0" w:type="dxa"/>
            </w:tcMar>
            <w:vAlign w:val="center"/>
          </w:tcPr>
          <w:p>
            <w:pPr>
              <w:jc w:val="center"/>
              <w:rPr>
                <w:rFonts w:hint="default" w:ascii="FreeSerif" w:hAnsi="FreeSerif" w:eastAsia="方正仿宋_GBK" w:cs="FreeSerif"/>
                <w:bCs/>
                <w:szCs w:val="21"/>
              </w:rPr>
            </w:pPr>
            <w:r>
              <w:rPr>
                <w:rFonts w:hint="default" w:ascii="FreeSerif" w:hAnsi="FreeSerif" w:eastAsia="方正仿宋_GBK" w:cs="FreeSerif"/>
                <w:bCs/>
                <w:szCs w:val="21"/>
              </w:rPr>
              <w:t>8.2</w:t>
            </w:r>
          </w:p>
        </w:tc>
        <w:tc>
          <w:tcPr>
            <w:tcW w:w="1843" w:type="dxa"/>
            <w:tcMar>
              <w:left w:w="0" w:type="dxa"/>
              <w:right w:w="0" w:type="dxa"/>
            </w:tcMar>
            <w:vAlign w:val="center"/>
          </w:tcPr>
          <w:p>
            <w:pPr>
              <w:jc w:val="center"/>
              <w:rPr>
                <w:rFonts w:hint="default" w:ascii="FreeSerif" w:hAnsi="FreeSerif" w:eastAsia="方正仿宋_GBK" w:cs="FreeSerif"/>
                <w:bCs/>
                <w:szCs w:val="21"/>
              </w:rPr>
            </w:pPr>
            <w:r>
              <w:rPr>
                <w:rFonts w:hint="default" w:ascii="FreeSerif" w:hAnsi="FreeSerif" w:eastAsia="方正仿宋_GBK" w:cs="FreeSerif"/>
                <w:bCs/>
                <w:szCs w:val="21"/>
              </w:rPr>
              <w:t>9.4</w:t>
            </w:r>
          </w:p>
        </w:tc>
        <w:tc>
          <w:tcPr>
            <w:tcW w:w="1974" w:type="dxa"/>
            <w:tcMar>
              <w:left w:w="0" w:type="dxa"/>
              <w:right w:w="0" w:type="dxa"/>
            </w:tcMar>
            <w:vAlign w:val="center"/>
          </w:tcPr>
          <w:p>
            <w:pPr>
              <w:jc w:val="center"/>
              <w:rPr>
                <w:rFonts w:hint="default" w:ascii="FreeSerif" w:hAnsi="FreeSerif" w:eastAsia="方正仿宋_GBK" w:cs="FreeSerif"/>
                <w:bCs/>
                <w:szCs w:val="21"/>
              </w:rPr>
            </w:pPr>
            <w:r>
              <w:rPr>
                <w:rFonts w:hint="default" w:ascii="FreeSerif" w:hAnsi="FreeSerif" w:eastAsia="方正仿宋_GBK" w:cs="FreeSerif"/>
                <w:bCs/>
                <w:szCs w:val="21"/>
              </w:rPr>
              <w:t>12.6</w:t>
            </w:r>
          </w:p>
        </w:tc>
      </w:tr>
      <w:bookmarkEnd w:id="79"/>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2可知近三年来白城市第三类危险品的经营使用量呈稳步增长态势。</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统计数据显示，近一年白城市机动车保有量增速较快，引起燃油需求增加。预计2022年</w:t>
      </w:r>
      <w:r>
        <w:rPr>
          <w:rFonts w:hint="default" w:ascii="FreeSerif" w:hAnsi="FreeSerif" w:eastAsia="仿宋" w:cs="FreeSerif"/>
          <w:sz w:val="32"/>
          <w:szCs w:val="32"/>
        </w:rPr>
        <w:t>—</w:t>
      </w:r>
      <w:r>
        <w:rPr>
          <w:rFonts w:hint="default" w:ascii="FreeSerif" w:hAnsi="FreeSerif" w:eastAsia="方正仿宋_GBK" w:cs="FreeSerif"/>
          <w:sz w:val="32"/>
          <w:szCs w:val="32"/>
        </w:rPr>
        <w:t>2030年期间机动车保有量仍会持续增长，从而导致燃油需求继续增加。同时，白城市正加快农业生产基地建设，推进三产融合发展和农业全面升级，受产业结构调整的影响，导致柴油需求得到有效驱动，柴油消费也将增加。</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综合考虑成品油使用量发展趋势，未来几年成品油运输需求将呈上升走势。</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lang w:val="en"/>
        </w:rPr>
      </w:pPr>
      <w:r>
        <w:rPr>
          <w:rFonts w:hint="default" w:ascii="FreeSerif" w:hAnsi="FreeSerif" w:eastAsia="方正仿宋_GBK" w:cs="FreeSerif"/>
          <w:sz w:val="32"/>
          <w:szCs w:val="32"/>
        </w:rPr>
        <w:t>（1）汽车用成品油</w:t>
      </w:r>
      <w:r>
        <w:rPr>
          <w:rFonts w:hint="default" w:ascii="FreeSerif" w:hAnsi="FreeSerif" w:eastAsia="方正仿宋_GBK" w:cs="FreeSerif"/>
          <w:sz w:val="32"/>
          <w:szCs w:val="32"/>
          <w:lang w:val="en"/>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根据白城市公安交警部门提供的数据，2019</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2021年白城市汽车保有量情况见表3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3。</w:t>
      </w:r>
    </w:p>
    <w:p>
      <w:pPr>
        <w:ind w:firstLine="240" w:firstLineChars="100"/>
        <w:jc w:val="both"/>
        <w:rPr>
          <w:rFonts w:hint="default" w:ascii="FreeSerif" w:hAnsi="FreeSerif" w:eastAsia="方正黑体_GBK" w:cs="FreeSerif"/>
          <w:color w:val="000000" w:themeColor="text1"/>
          <w:sz w:val="24"/>
          <w:szCs w:val="24"/>
          <w14:textFill>
            <w14:solidFill>
              <w14:schemeClr w14:val="tx1"/>
            </w14:solidFill>
          </w14:textFill>
        </w:rPr>
      </w:pPr>
      <w:bookmarkStart w:id="80" w:name="_Hlk86075698"/>
      <w:r>
        <w:rPr>
          <w:rFonts w:hint="eastAsia" w:ascii="FreeSerif" w:hAnsi="FreeSerif" w:eastAsia="方正黑体_GBK" w:cs="FreeSerif"/>
          <w:sz w:val="24"/>
          <w:szCs w:val="24"/>
          <w:lang w:eastAsia="zh-CN"/>
        </w:rPr>
        <w:t>　</w:t>
      </w:r>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 xml:space="preserve">3  </w:t>
      </w:r>
      <w:r>
        <w:rPr>
          <w:rFonts w:hint="eastAsia" w:ascii="FreeSerif" w:hAnsi="FreeSerif" w:eastAsia="方正黑体_GBK" w:cs="FreeSerif"/>
          <w:sz w:val="24"/>
          <w:szCs w:val="24"/>
          <w:lang w:eastAsia="zh-CN"/>
        </w:rPr>
        <w:t>　</w:t>
      </w:r>
      <w:r>
        <w:rPr>
          <w:rFonts w:hint="default" w:ascii="FreeSerif" w:hAnsi="FreeSerif" w:eastAsia="方正黑体_GBK" w:cs="FreeSerif"/>
          <w:sz w:val="24"/>
          <w:szCs w:val="24"/>
        </w:rPr>
        <w:t>白城市2019年</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2021汽车</w:t>
      </w:r>
      <w:r>
        <w:rPr>
          <w:rFonts w:hint="default" w:ascii="FreeSerif" w:hAnsi="FreeSerif" w:eastAsia="方正黑体_GBK" w:cs="FreeSerif"/>
          <w:color w:val="000000" w:themeColor="text1"/>
          <w:sz w:val="24"/>
          <w:szCs w:val="24"/>
          <w14:textFill>
            <w14:solidFill>
              <w14:schemeClr w14:val="tx1"/>
            </w14:solidFill>
          </w14:textFill>
        </w:rPr>
        <w:t>保有量统计表            单位：辆</w:t>
      </w:r>
    </w:p>
    <w:bookmarkEnd w:id="80"/>
    <w:tbl>
      <w:tblPr>
        <w:tblStyle w:val="17"/>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574"/>
        <w:gridCol w:w="1009"/>
        <w:gridCol w:w="1010"/>
        <w:gridCol w:w="1010"/>
        <w:gridCol w:w="1010"/>
        <w:gridCol w:w="1010"/>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0" w:type="auto"/>
            <w:tcMar>
              <w:left w:w="0" w:type="dxa"/>
              <w:right w:w="0" w:type="dxa"/>
            </w:tcMar>
            <w:vAlign w:val="center"/>
          </w:tcPr>
          <w:p>
            <w:pPr>
              <w:jc w:val="center"/>
              <w:rPr>
                <w:rFonts w:hint="default" w:ascii="FreeSerif" w:hAnsi="FreeSerif" w:eastAsia="方正黑体_GBK" w:cs="FreeSerif"/>
                <w:b w:val="0"/>
                <w:bCs/>
                <w:szCs w:val="21"/>
              </w:rPr>
            </w:pPr>
            <w:bookmarkStart w:id="81" w:name="_Hlk86075071"/>
            <w:bookmarkStart w:id="82" w:name="_Hlk86182947"/>
            <w:r>
              <w:rPr>
                <w:rFonts w:hint="default" w:ascii="FreeSerif" w:hAnsi="FreeSerif" w:eastAsia="方正黑体_GBK" w:cs="FreeSerif"/>
                <w:b w:val="0"/>
                <w:bCs/>
                <w:szCs w:val="21"/>
              </w:rPr>
              <w:t>年份</w:t>
            </w:r>
          </w:p>
        </w:tc>
        <w:tc>
          <w:tcPr>
            <w:tcW w:w="1574"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汽车保有量</w:t>
            </w:r>
          </w:p>
        </w:tc>
        <w:tc>
          <w:tcPr>
            <w:tcW w:w="1009"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小客</w:t>
            </w:r>
          </w:p>
        </w:tc>
        <w:tc>
          <w:tcPr>
            <w:tcW w:w="1010"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中客</w:t>
            </w:r>
          </w:p>
        </w:tc>
        <w:tc>
          <w:tcPr>
            <w:tcW w:w="1010"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大客</w:t>
            </w:r>
          </w:p>
        </w:tc>
        <w:tc>
          <w:tcPr>
            <w:tcW w:w="1010"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小货</w:t>
            </w:r>
          </w:p>
        </w:tc>
        <w:tc>
          <w:tcPr>
            <w:tcW w:w="1010" w:type="dxa"/>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中货</w:t>
            </w:r>
          </w:p>
        </w:tc>
        <w:tc>
          <w:tcPr>
            <w:tcW w:w="1010" w:type="dxa"/>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大货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0" w:type="auto"/>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2019</w:t>
            </w:r>
          </w:p>
        </w:tc>
        <w:tc>
          <w:tcPr>
            <w:tcW w:w="1574"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202627</w:t>
            </w:r>
          </w:p>
        </w:tc>
        <w:tc>
          <w:tcPr>
            <w:tcW w:w="1009"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175160</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439</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671</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19024</w:t>
            </w:r>
          </w:p>
        </w:tc>
        <w:tc>
          <w:tcPr>
            <w:tcW w:w="1010" w:type="dxa"/>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1480</w:t>
            </w:r>
          </w:p>
        </w:tc>
        <w:tc>
          <w:tcPr>
            <w:tcW w:w="1010" w:type="dxa"/>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5390</w:t>
            </w: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0" w:type="auto"/>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2020</w:t>
            </w:r>
          </w:p>
        </w:tc>
        <w:tc>
          <w:tcPr>
            <w:tcW w:w="1574"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207872</w:t>
            </w:r>
          </w:p>
        </w:tc>
        <w:tc>
          <w:tcPr>
            <w:tcW w:w="1009"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178786</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364</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612</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20630</w:t>
            </w:r>
          </w:p>
        </w:tc>
        <w:tc>
          <w:tcPr>
            <w:tcW w:w="1010" w:type="dxa"/>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1320</w:t>
            </w:r>
          </w:p>
        </w:tc>
        <w:tc>
          <w:tcPr>
            <w:tcW w:w="1010" w:type="dxa"/>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5614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0" w:type="auto"/>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2021</w:t>
            </w:r>
          </w:p>
        </w:tc>
        <w:tc>
          <w:tcPr>
            <w:tcW w:w="1574"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322207</w:t>
            </w:r>
          </w:p>
        </w:tc>
        <w:tc>
          <w:tcPr>
            <w:tcW w:w="1009"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280098</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518</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1335</w:t>
            </w:r>
          </w:p>
        </w:tc>
        <w:tc>
          <w:tcPr>
            <w:tcW w:w="1010"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29710</w:t>
            </w:r>
          </w:p>
        </w:tc>
        <w:tc>
          <w:tcPr>
            <w:tcW w:w="1010" w:type="dxa"/>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1432</w:t>
            </w:r>
          </w:p>
        </w:tc>
        <w:tc>
          <w:tcPr>
            <w:tcW w:w="1010" w:type="dxa"/>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7819</w:t>
            </w:r>
          </w:p>
        </w:tc>
      </w:tr>
      <w:bookmarkEnd w:id="82"/>
    </w:tbl>
    <w:p>
      <w:pPr>
        <w:spacing w:before="100" w:beforeAutospacing="1"/>
        <w:jc w:val="both"/>
        <w:rPr>
          <w:rFonts w:hint="default" w:ascii="FreeSerif" w:hAnsi="FreeSerif" w:eastAsia="方正仿宋_GBK" w:cs="FreeSerif"/>
          <w:sz w:val="32"/>
          <w:szCs w:val="32"/>
        </w:rPr>
      </w:pPr>
      <w:r>
        <w:rPr>
          <w:rFonts w:hint="default" w:ascii="FreeSerif" w:hAnsi="FreeSerif" w:eastAsia="仿宋" w:cs="FreeSerif"/>
          <w:sz w:val="28"/>
          <w:szCs w:val="28"/>
        </w:rPr>
        <w:t xml:space="preserve">   </w:t>
      </w:r>
      <w:r>
        <w:rPr>
          <w:rFonts w:hint="default" w:ascii="FreeSerif" w:hAnsi="FreeSerif" w:eastAsia="仿宋_GB2312" w:cs="FreeSerif"/>
          <w:sz w:val="28"/>
          <w:szCs w:val="28"/>
        </w:rPr>
        <w:t xml:space="preserve"> </w:t>
      </w:r>
      <w:r>
        <w:rPr>
          <w:rFonts w:hint="default" w:ascii="FreeSerif" w:hAnsi="FreeSerif" w:eastAsia="方正仿宋_GBK" w:cs="FreeSerif"/>
          <w:sz w:val="32"/>
          <w:szCs w:val="32"/>
        </w:rPr>
        <w:t>由表3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3可知，随着国民经济的发展，继小汽车大量进入家庭后，白城市近年来汽车保有量处于快速增长阶段，近三年的年均增长率为28.8%，其中小（轻）型客车保有量年均增长率约为29.37%，中型客车增速放缓，大型客车有较大增长，近一</w:t>
      </w:r>
      <w:r>
        <w:rPr>
          <w:rFonts w:hint="default" w:ascii="FreeSerif" w:hAnsi="FreeSerif" w:eastAsia="方正仿宋_GBK" w:cs="FreeSerif"/>
          <w:color w:val="000000" w:themeColor="text1"/>
          <w:sz w:val="32"/>
          <w:szCs w:val="32"/>
          <w14:textFill>
            <w14:solidFill>
              <w14:schemeClr w14:val="tx1"/>
            </w14:solidFill>
          </w14:textFill>
        </w:rPr>
        <w:t>年增长超</w:t>
      </w:r>
      <w:r>
        <w:rPr>
          <w:rFonts w:hint="default" w:ascii="FreeSerif" w:hAnsi="FreeSerif" w:eastAsia="方正仿宋_GBK" w:cs="FreeSerif"/>
          <w:sz w:val="32"/>
          <w:szCs w:val="32"/>
        </w:rPr>
        <w:t>100</w:t>
      </w:r>
      <w:r>
        <w:rPr>
          <w:rFonts w:hint="default" w:ascii="FreeSerif" w:hAnsi="FreeSerif" w:eastAsia="方正仿宋_GBK" w:cs="FreeSerif"/>
          <w:color w:val="000000" w:themeColor="text1"/>
          <w:sz w:val="32"/>
          <w:szCs w:val="32"/>
          <w14:textFill>
            <w14:solidFill>
              <w14:schemeClr w14:val="tx1"/>
            </w14:solidFill>
          </w14:textFill>
        </w:rPr>
        <w:t>%。</w:t>
      </w:r>
      <w:r>
        <w:rPr>
          <w:rFonts w:hint="default" w:ascii="FreeSerif" w:hAnsi="FreeSerif" w:eastAsia="方正仿宋_GBK" w:cs="FreeSerif"/>
          <w:sz w:val="32"/>
          <w:szCs w:val="32"/>
        </w:rPr>
        <w:t>小（轻）型、大型货车近一年增速也较快，年均增长率分别为26.23%和21.72%，中型货车近三年数量变化不大。按此趋势发展，白城市未来十年车辆用燃油需求将呈增长态势。</w:t>
      </w:r>
    </w:p>
    <w:p>
      <w:pPr>
        <w:spacing w:after="100" w:afterAutospacing="1"/>
        <w:ind w:firstLine="640" w:firstLineChars="200"/>
        <w:jc w:val="both"/>
        <w:rPr>
          <w:rFonts w:hint="default" w:ascii="FreeSerif" w:hAnsi="FreeSerif" w:eastAsia="方正仿宋_GBK" w:cs="FreeSerif"/>
          <w:sz w:val="32"/>
          <w:szCs w:val="32"/>
        </w:rPr>
      </w:pPr>
      <w:r>
        <w:rPr>
          <w:rFonts w:hint="default" w:ascii="FreeSerif" w:hAnsi="FreeSerif" w:eastAsia="方正仿宋_GBK" w:cs="FreeSerif"/>
          <w:sz w:val="32"/>
          <w:szCs w:val="32"/>
        </w:rPr>
        <w:t>据有关调查统计资料，</w:t>
      </w:r>
      <w:r>
        <w:rPr>
          <w:rFonts w:hint="default" w:ascii="FreeSerif" w:hAnsi="FreeSerif" w:eastAsia="方正仿宋_GBK" w:cs="FreeSerif"/>
          <w:color w:val="000000" w:themeColor="text1"/>
          <w:sz w:val="32"/>
          <w:szCs w:val="32"/>
          <w14:textFill>
            <w14:solidFill>
              <w14:schemeClr w14:val="tx1"/>
            </w14:solidFill>
          </w14:textFill>
        </w:rPr>
        <w:t>我国</w:t>
      </w:r>
      <w:r>
        <w:rPr>
          <w:rFonts w:hint="default" w:ascii="FreeSerif" w:hAnsi="FreeSerif" w:eastAsia="方正仿宋_GBK" w:cs="FreeSerif"/>
          <w:sz w:val="32"/>
          <w:szCs w:val="32"/>
        </w:rPr>
        <w:t>各类车辆油耗情况见表3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4。</w:t>
      </w:r>
    </w:p>
    <w:p>
      <w:pPr>
        <w:jc w:val="center"/>
        <w:rPr>
          <w:rFonts w:hint="default" w:ascii="FreeSerif" w:hAnsi="FreeSerif" w:eastAsia="方正黑体_GBK" w:cs="FreeSerif"/>
          <w:b/>
          <w:color w:val="000000" w:themeColor="text1"/>
          <w:sz w:val="24"/>
          <w:szCs w:val="24"/>
          <w14:textFill>
            <w14:solidFill>
              <w14:schemeClr w14:val="tx1"/>
            </w14:solidFill>
          </w14:textFill>
        </w:rPr>
      </w:pPr>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 xml:space="preserve">4 </w:t>
      </w:r>
      <w:r>
        <w:rPr>
          <w:rFonts w:hint="eastAsia" w:ascii="FreeSerif" w:hAnsi="FreeSerif" w:eastAsia="方正黑体_GBK" w:cs="FreeSerif"/>
          <w:sz w:val="24"/>
          <w:szCs w:val="24"/>
          <w:lang w:val="en-US" w:eastAsia="zh-CN"/>
        </w:rPr>
        <w:t xml:space="preserve"> </w:t>
      </w:r>
      <w:r>
        <w:rPr>
          <w:rFonts w:hint="default" w:ascii="FreeSerif" w:hAnsi="FreeSerif" w:eastAsia="方正黑体_GBK" w:cs="FreeSerif"/>
          <w:sz w:val="24"/>
          <w:szCs w:val="24"/>
        </w:rPr>
        <w:t>各类车</w:t>
      </w:r>
      <w:r>
        <w:rPr>
          <w:rFonts w:hint="default" w:ascii="FreeSerif" w:hAnsi="FreeSerif" w:eastAsia="方正黑体_GBK" w:cs="FreeSerif"/>
          <w:color w:val="000000" w:themeColor="text1"/>
          <w:sz w:val="24"/>
          <w:szCs w:val="24"/>
          <w14:textFill>
            <w14:solidFill>
              <w14:schemeClr w14:val="tx1"/>
            </w14:solidFill>
          </w14:textFill>
        </w:rPr>
        <w:t>辆百公里油耗情况             单位：升/百公里</w:t>
      </w:r>
    </w:p>
    <w:tbl>
      <w:tblPr>
        <w:tblStyle w:val="16"/>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1996"/>
        <w:gridCol w:w="2410"/>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3974" w:type="dxa"/>
            <w:gridSpan w:val="2"/>
            <w:vMerge w:val="restart"/>
            <w:tcMar>
              <w:left w:w="0" w:type="dxa"/>
              <w:right w:w="0" w:type="dxa"/>
            </w:tcMar>
            <w:vAlign w:val="center"/>
          </w:tcPr>
          <w:p>
            <w:pPr>
              <w:jc w:val="center"/>
              <w:rPr>
                <w:rFonts w:hint="default" w:ascii="FreeSerif" w:hAnsi="FreeSerif" w:eastAsia="仿宋_GB2312" w:cs="FreeSerif"/>
                <w:b/>
                <w:szCs w:val="21"/>
              </w:rPr>
            </w:pPr>
            <w:r>
              <w:rPr>
                <w:rFonts w:hint="default" w:ascii="FreeSerif" w:hAnsi="FreeSerif" w:eastAsia="仿宋_GB2312" w:cs="FreeSerif"/>
                <w:b/>
                <w:szCs w:val="21"/>
              </w:rPr>
              <w:t>车辆类型</w:t>
            </w:r>
          </w:p>
        </w:tc>
        <w:tc>
          <w:tcPr>
            <w:tcW w:w="4402" w:type="dxa"/>
            <w:gridSpan w:val="2"/>
            <w:tcMar>
              <w:left w:w="0" w:type="dxa"/>
              <w:right w:w="0" w:type="dxa"/>
            </w:tcMar>
            <w:vAlign w:val="center"/>
          </w:tcPr>
          <w:p>
            <w:pPr>
              <w:jc w:val="center"/>
              <w:rPr>
                <w:rFonts w:hint="default" w:ascii="FreeSerif" w:hAnsi="FreeSerif" w:eastAsia="仿宋_GB2312" w:cs="FreeSerif"/>
                <w:b/>
                <w:szCs w:val="21"/>
              </w:rPr>
            </w:pPr>
            <w:r>
              <w:rPr>
                <w:rFonts w:hint="default" w:ascii="FreeSerif" w:hAnsi="FreeSerif" w:eastAsia="仿宋_GB2312" w:cs="FreeSerif"/>
                <w:b/>
                <w:szCs w:val="21"/>
              </w:rPr>
              <w:t>油 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974" w:type="dxa"/>
            <w:gridSpan w:val="2"/>
            <w:vMerge w:val="continue"/>
            <w:tcMar>
              <w:left w:w="0" w:type="dxa"/>
              <w:right w:w="0" w:type="dxa"/>
            </w:tcMar>
            <w:vAlign w:val="center"/>
          </w:tcPr>
          <w:p>
            <w:pPr>
              <w:jc w:val="center"/>
              <w:rPr>
                <w:rFonts w:hint="default" w:ascii="FreeSerif" w:hAnsi="FreeSerif" w:eastAsia="仿宋_GB2312" w:cs="FreeSerif"/>
                <w:b/>
                <w:szCs w:val="21"/>
              </w:rPr>
            </w:pPr>
          </w:p>
        </w:tc>
        <w:tc>
          <w:tcPr>
            <w:tcW w:w="2410" w:type="dxa"/>
            <w:tcMar>
              <w:left w:w="0" w:type="dxa"/>
              <w:right w:w="0" w:type="dxa"/>
            </w:tcMar>
            <w:vAlign w:val="center"/>
          </w:tcPr>
          <w:p>
            <w:pPr>
              <w:jc w:val="center"/>
              <w:rPr>
                <w:rFonts w:hint="default" w:ascii="FreeSerif" w:hAnsi="FreeSerif" w:eastAsia="仿宋_GB2312" w:cs="FreeSerif"/>
                <w:b/>
                <w:szCs w:val="21"/>
              </w:rPr>
            </w:pPr>
            <w:r>
              <w:rPr>
                <w:rFonts w:hint="default" w:ascii="FreeSerif" w:hAnsi="FreeSerif" w:eastAsia="仿宋_GB2312" w:cs="FreeSerif"/>
                <w:b/>
                <w:szCs w:val="21"/>
              </w:rPr>
              <w:t>汽 油</w:t>
            </w:r>
          </w:p>
        </w:tc>
        <w:tc>
          <w:tcPr>
            <w:tcW w:w="1992" w:type="dxa"/>
            <w:tcMar>
              <w:left w:w="0" w:type="dxa"/>
              <w:right w:w="0" w:type="dxa"/>
            </w:tcMar>
            <w:vAlign w:val="center"/>
          </w:tcPr>
          <w:p>
            <w:pPr>
              <w:jc w:val="center"/>
              <w:rPr>
                <w:rFonts w:hint="default" w:ascii="FreeSerif" w:hAnsi="FreeSerif" w:eastAsia="仿宋_GB2312" w:cs="FreeSerif"/>
                <w:b/>
                <w:szCs w:val="21"/>
              </w:rPr>
            </w:pPr>
            <w:r>
              <w:rPr>
                <w:rFonts w:hint="default" w:ascii="FreeSerif" w:hAnsi="FreeSerif" w:eastAsia="仿宋_GB2312" w:cs="FreeSerif"/>
                <w:b/>
                <w:szCs w:val="21"/>
              </w:rPr>
              <w:t>柴 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78"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小型客车</w:t>
            </w: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&lt;7座</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8.3</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vMerge w:val="restart"/>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中型客车</w:t>
            </w: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lang w:val="en"/>
              </w:rPr>
              <w:t>（</w:t>
            </w:r>
            <w:r>
              <w:rPr>
                <w:rFonts w:hint="default" w:ascii="FreeSerif" w:hAnsi="FreeSerif" w:eastAsia="仿宋_GB2312" w:cs="FreeSerif"/>
                <w:szCs w:val="21"/>
              </w:rPr>
              <w:t>7座</w:t>
            </w:r>
            <w:r>
              <w:rPr>
                <w:rFonts w:hint="default" w:ascii="FreeSerif" w:hAnsi="FreeSerif" w:eastAsia="仿宋_GB2312" w:cs="FreeSerif"/>
                <w:szCs w:val="21"/>
                <w:lang w:val="en-US"/>
              </w:rPr>
              <w:t>－</w:t>
            </w:r>
            <w:r>
              <w:rPr>
                <w:rFonts w:hint="default" w:ascii="FreeSerif" w:hAnsi="FreeSerif" w:eastAsia="仿宋_GB2312" w:cs="FreeSerif"/>
                <w:szCs w:val="21"/>
              </w:rPr>
              <w:t>15座</w:t>
            </w:r>
            <w:r>
              <w:rPr>
                <w:rFonts w:hint="default" w:ascii="FreeSerif" w:hAnsi="FreeSerif" w:eastAsia="仿宋_GB2312" w:cs="FreeSerif"/>
                <w:szCs w:val="21"/>
                <w:lang w:val="en"/>
              </w:rPr>
              <w: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12.5</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vMerge w:val="continue"/>
            <w:tcMar>
              <w:left w:w="0" w:type="dxa"/>
              <w:right w:w="0" w:type="dxa"/>
            </w:tcMar>
            <w:vAlign w:val="center"/>
          </w:tcPr>
          <w:p>
            <w:pPr>
              <w:jc w:val="center"/>
              <w:rPr>
                <w:rFonts w:hint="default" w:ascii="FreeSerif" w:hAnsi="FreeSerif" w:eastAsia="仿宋_GB2312" w:cs="FreeSerif"/>
                <w:szCs w:val="21"/>
              </w:rPr>
            </w:pP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lang w:val="en"/>
              </w:rPr>
              <w:t>（</w:t>
            </w:r>
            <w:r>
              <w:rPr>
                <w:rFonts w:hint="default" w:ascii="FreeSerif" w:hAnsi="FreeSerif" w:eastAsia="仿宋_GB2312" w:cs="FreeSerif"/>
                <w:szCs w:val="21"/>
              </w:rPr>
              <w:t>15座</w:t>
            </w:r>
            <w:r>
              <w:rPr>
                <w:rFonts w:hint="default" w:ascii="FreeSerif" w:hAnsi="FreeSerif" w:eastAsia="仿宋_GB2312" w:cs="FreeSerif"/>
                <w:szCs w:val="21"/>
                <w:lang w:val="en-US"/>
              </w:rPr>
              <w:t>－</w:t>
            </w:r>
            <w:r>
              <w:rPr>
                <w:rFonts w:hint="default" w:ascii="FreeSerif" w:hAnsi="FreeSerif" w:eastAsia="仿宋_GB2312" w:cs="FreeSerif"/>
                <w:szCs w:val="21"/>
              </w:rPr>
              <w:t>30座</w:t>
            </w:r>
            <w:r>
              <w:rPr>
                <w:rFonts w:hint="default" w:ascii="FreeSerif" w:hAnsi="FreeSerif" w:eastAsia="仿宋_GB2312" w:cs="FreeSerif"/>
                <w:szCs w:val="21"/>
                <w:lang w:val="en"/>
              </w:rPr>
              <w: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19.3</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大型客车</w:t>
            </w: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&gt;30座</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vMerge w:val="restart"/>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小（轻）型货车</w:t>
            </w: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&lt;=2t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12.3</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vMerge w:val="continue"/>
            <w:tcMar>
              <w:left w:w="0" w:type="dxa"/>
              <w:right w:w="0" w:type="dxa"/>
            </w:tcMar>
            <w:vAlign w:val="center"/>
          </w:tcPr>
          <w:p>
            <w:pPr>
              <w:jc w:val="center"/>
              <w:rPr>
                <w:rFonts w:hint="default" w:ascii="FreeSerif" w:hAnsi="FreeSerif" w:eastAsia="仿宋_GB2312" w:cs="FreeSerif"/>
                <w:szCs w:val="21"/>
              </w:rPr>
            </w:pP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lang w:val="en"/>
              </w:rPr>
              <w:t>（</w:t>
            </w:r>
            <w:r>
              <w:rPr>
                <w:rFonts w:hint="default" w:ascii="FreeSerif" w:hAnsi="FreeSerif" w:eastAsia="仿宋_GB2312" w:cs="FreeSerif"/>
                <w:szCs w:val="21"/>
              </w:rPr>
              <w:t>2t,4t</w:t>
            </w:r>
            <w:r>
              <w:rPr>
                <w:rFonts w:hint="default" w:ascii="FreeSerif" w:hAnsi="FreeSerif" w:eastAsia="仿宋_GB2312" w:cs="FreeSerif"/>
                <w:szCs w:val="21"/>
                <w:lang w:val="en"/>
              </w:rPr>
              <w: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21.2</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中型货车</w:t>
            </w: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lang w:val="en"/>
              </w:rPr>
              <w:t>（</w:t>
            </w:r>
            <w:r>
              <w:rPr>
                <w:rFonts w:hint="default" w:ascii="FreeSerif" w:hAnsi="FreeSerif" w:eastAsia="仿宋_GB2312" w:cs="FreeSerif"/>
                <w:szCs w:val="21"/>
              </w:rPr>
              <w:t>4t,8t</w:t>
            </w:r>
            <w:r>
              <w:rPr>
                <w:rFonts w:hint="default" w:ascii="FreeSerif" w:hAnsi="FreeSerif" w:eastAsia="仿宋_GB2312" w:cs="FreeSerif"/>
                <w:szCs w:val="21"/>
                <w:lang w:val="en"/>
              </w:rPr>
              <w: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vMerge w:val="restart"/>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大（重）型货车</w:t>
            </w: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lang w:val="en"/>
              </w:rPr>
              <w:t>（</w:t>
            </w:r>
            <w:r>
              <w:rPr>
                <w:rFonts w:hint="default" w:ascii="FreeSerif" w:hAnsi="FreeSerif" w:eastAsia="仿宋_GB2312" w:cs="FreeSerif"/>
                <w:szCs w:val="21"/>
              </w:rPr>
              <w:t>8t,20t</w:t>
            </w:r>
            <w:r>
              <w:rPr>
                <w:rFonts w:hint="default" w:ascii="FreeSerif" w:hAnsi="FreeSerif" w:eastAsia="仿宋_GB2312" w:cs="FreeSerif"/>
                <w:szCs w:val="21"/>
                <w:lang w:val="en"/>
              </w:rPr>
              <w: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978" w:type="dxa"/>
            <w:vMerge w:val="continue"/>
            <w:tcMar>
              <w:left w:w="0" w:type="dxa"/>
              <w:right w:w="0" w:type="dxa"/>
            </w:tcMar>
            <w:vAlign w:val="center"/>
          </w:tcPr>
          <w:p>
            <w:pPr>
              <w:jc w:val="center"/>
              <w:rPr>
                <w:rFonts w:hint="default" w:ascii="FreeSerif" w:hAnsi="FreeSerif" w:eastAsia="仿宋_GB2312" w:cs="FreeSerif"/>
                <w:szCs w:val="21"/>
              </w:rPr>
            </w:pPr>
          </w:p>
        </w:tc>
        <w:tc>
          <w:tcPr>
            <w:tcW w:w="1996" w:type="dxa"/>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&gt;20t</w:t>
            </w:r>
          </w:p>
        </w:tc>
        <w:tc>
          <w:tcPr>
            <w:tcW w:w="2410"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w:t>
            </w:r>
          </w:p>
        </w:tc>
        <w:tc>
          <w:tcPr>
            <w:tcW w:w="1992" w:type="dxa"/>
            <w:tcMar>
              <w:left w:w="0" w:type="dxa"/>
              <w:right w:w="0" w:type="dxa"/>
            </w:tcMar>
            <w:vAlign w:val="center"/>
          </w:tcPr>
          <w:p>
            <w:pPr>
              <w:jc w:val="center"/>
              <w:rPr>
                <w:rFonts w:hint="default" w:ascii="FreeSerif" w:hAnsi="FreeSerif" w:eastAsia="仿宋_GB2312" w:cs="FreeSerif"/>
                <w:szCs w:val="21"/>
              </w:rPr>
            </w:pPr>
            <w:r>
              <w:rPr>
                <w:rFonts w:hint="default" w:ascii="FreeSerif" w:hAnsi="FreeSerif" w:eastAsia="仿宋_GB2312" w:cs="FreeSerif"/>
                <w:szCs w:val="21"/>
              </w:rPr>
              <w:t>41.7</w:t>
            </w:r>
          </w:p>
        </w:tc>
      </w:tr>
    </w:tbl>
    <w:p>
      <w:pPr>
        <w:ind w:firstLine="555"/>
        <w:jc w:val="both"/>
        <w:rPr>
          <w:rFonts w:hint="default" w:ascii="FreeSerif" w:hAnsi="FreeSerif" w:eastAsia="仿宋_GB2312" w:cs="FreeSerif"/>
          <w:sz w:val="28"/>
          <w:szCs w:val="28"/>
        </w:rPr>
      </w:pPr>
      <w:r>
        <w:rPr>
          <w:rFonts w:hint="default" w:ascii="FreeSerif" w:hAnsi="FreeSerif" w:eastAsia="仿宋_GB2312" w:cs="FreeSerif"/>
          <w:sz w:val="28"/>
          <w:szCs w:val="28"/>
        </w:rPr>
        <w:t>道路运输年耗油量测算模型为：</w:t>
      </w:r>
    </w:p>
    <w:p>
      <w:pPr>
        <w:ind w:firstLine="555"/>
        <w:jc w:val="both"/>
        <w:rPr>
          <w:rFonts w:hint="default" w:ascii="FreeSerif" w:hAnsi="FreeSerif" w:eastAsia="仿宋" w:cs="FreeSerif"/>
          <w:sz w:val="28"/>
          <w:szCs w:val="28"/>
        </w:rPr>
      </w:pPr>
      <m:oMathPara>
        <m:oMath>
          <m:r>
            <m:rPr>
              <m:sty m:val="p"/>
            </m:rPr>
            <w:rPr>
              <w:rFonts w:hint="default" w:ascii="DejaVu Math TeX Gyre" w:hAnsi="DejaVu Math TeX Gyre" w:eastAsia="仿宋" w:cs="FreeSerif"/>
              <w:sz w:val="28"/>
              <w:szCs w:val="28"/>
            </w:rPr>
            <m:t>M=</m:t>
          </m:r>
          <m:f>
            <m:fPr>
              <m:ctrlPr>
                <w:rPr>
                  <w:rFonts w:hint="default" w:ascii="DejaVu Math TeX Gyre" w:hAnsi="DejaVu Math TeX Gyre" w:eastAsia="仿宋" w:cs="FreeSerif"/>
                  <w:sz w:val="28"/>
                  <w:szCs w:val="28"/>
                </w:rPr>
              </m:ctrlPr>
            </m:fPr>
            <m:num>
              <m:sSub>
                <m:sSubPr>
                  <m:ctrlPr>
                    <w:rPr>
                      <w:rFonts w:hint="default" w:ascii="DejaVu Math TeX Gyre" w:hAnsi="DejaVu Math TeX Gyre" w:eastAsia="仿宋" w:cs="FreeSerif"/>
                      <w:sz w:val="28"/>
                      <w:szCs w:val="28"/>
                    </w:rPr>
                  </m:ctrlPr>
                </m:sSubPr>
                <m:e>
                  <m:r>
                    <m:rPr/>
                    <w:rPr>
                      <w:rFonts w:hint="default" w:ascii="DejaVu Math TeX Gyre" w:hAnsi="DejaVu Math TeX Gyre" w:eastAsia="仿宋" w:cs="FreeSerif"/>
                      <w:sz w:val="28"/>
                      <w:szCs w:val="28"/>
                    </w:rPr>
                    <m:t>ρ</m:t>
                  </m:r>
                  <m:ctrlPr>
                    <w:rPr>
                      <w:rFonts w:hint="default" w:ascii="DejaVu Math TeX Gyre" w:hAnsi="DejaVu Math TeX Gyre" w:eastAsia="仿宋" w:cs="FreeSerif"/>
                      <w:sz w:val="28"/>
                      <w:szCs w:val="28"/>
                    </w:rPr>
                  </m:ctrlPr>
                </m:e>
                <m:sub>
                  <m:r>
                    <m:rPr/>
                    <w:rPr>
                      <w:rFonts w:hint="default" w:ascii="DejaVu Math TeX Gyre" w:hAnsi="DejaVu Math TeX Gyre" w:eastAsia="仿宋" w:cs="FreeSerif"/>
                      <w:sz w:val="28"/>
                      <w:szCs w:val="28"/>
                    </w:rPr>
                    <m:t>1</m:t>
                  </m:r>
                  <m:ctrlPr>
                    <w:rPr>
                      <w:rFonts w:hint="default" w:ascii="DejaVu Math TeX Gyre" w:hAnsi="DejaVu Math TeX Gyre" w:eastAsia="仿宋" w:cs="FreeSerif"/>
                      <w:sz w:val="28"/>
                      <w:szCs w:val="28"/>
                    </w:rPr>
                  </m:ctrlPr>
                </m:sub>
              </m:sSub>
              <m:nary>
                <m:naryPr>
                  <m:chr m:val="∑"/>
                  <m:limLoc m:val="undOvr"/>
                  <m:ctrlPr>
                    <w:rPr>
                      <w:rFonts w:hint="default" w:ascii="DejaVu Math TeX Gyre" w:hAnsi="DejaVu Math TeX Gyre" w:eastAsia="仿宋" w:cs="FreeSerif"/>
                      <w:sz w:val="28"/>
                      <w:szCs w:val="28"/>
                    </w:rPr>
                  </m:ctrlPr>
                </m:naryPr>
                <m:sub>
                  <m:r>
                    <m:rPr/>
                    <w:rPr>
                      <w:rFonts w:hint="default" w:ascii="DejaVu Math TeX Gyre" w:hAnsi="DejaVu Math TeX Gyre" w:eastAsia="仿宋" w:cs="FreeSerif"/>
                      <w:sz w:val="28"/>
                      <w:szCs w:val="28"/>
                    </w:rPr>
                    <m:t>i=1</m:t>
                  </m:r>
                  <m:ctrlPr>
                    <w:rPr>
                      <w:rFonts w:hint="default" w:ascii="DejaVu Math TeX Gyre" w:hAnsi="DejaVu Math TeX Gyre" w:eastAsia="仿宋" w:cs="FreeSerif"/>
                      <w:sz w:val="28"/>
                      <w:szCs w:val="28"/>
                    </w:rPr>
                  </m:ctrlPr>
                </m:sub>
                <m:sup>
                  <m:r>
                    <m:rPr/>
                    <w:rPr>
                      <w:rFonts w:hint="default" w:ascii="DejaVu Math TeX Gyre" w:hAnsi="DejaVu Math TeX Gyre" w:eastAsia="仿宋" w:cs="FreeSerif"/>
                      <w:sz w:val="28"/>
                      <w:szCs w:val="28"/>
                    </w:rPr>
                    <m:t>n</m:t>
                  </m:r>
                  <m:ctrlPr>
                    <w:rPr>
                      <w:rFonts w:hint="default" w:ascii="DejaVu Math TeX Gyre" w:hAnsi="DejaVu Math TeX Gyre" w:eastAsia="仿宋" w:cs="FreeSerif"/>
                      <w:sz w:val="28"/>
                      <w:szCs w:val="28"/>
                    </w:rPr>
                  </m:ctrlPr>
                </m:sup>
                <m:e>
                  <m:sSub>
                    <m:sSubPr>
                      <m:ctrlPr>
                        <w:rPr>
                          <w:rFonts w:hint="default" w:ascii="DejaVu Math TeX Gyre" w:hAnsi="DejaVu Math TeX Gyre" w:eastAsia="仿宋" w:cs="FreeSerif"/>
                          <w:i/>
                          <w:sz w:val="28"/>
                          <w:szCs w:val="28"/>
                        </w:rPr>
                      </m:ctrlPr>
                    </m:sSubPr>
                    <m:e>
                      <m:r>
                        <m:rPr/>
                        <w:rPr>
                          <w:rFonts w:hint="default" w:ascii="DejaVu Math TeX Gyre" w:hAnsi="DejaVu Math TeX Gyre" w:eastAsia="仿宋" w:cs="FreeSerif"/>
                          <w:sz w:val="28"/>
                          <w:szCs w:val="28"/>
                        </w:rPr>
                        <m:t>m</m:t>
                      </m:r>
                      <m:ctrlPr>
                        <w:rPr>
                          <w:rFonts w:hint="default" w:ascii="DejaVu Math TeX Gyre" w:hAnsi="DejaVu Math TeX Gyre" w:eastAsia="仿宋" w:cs="FreeSerif"/>
                          <w:i/>
                          <w:sz w:val="28"/>
                          <w:szCs w:val="28"/>
                        </w:rPr>
                      </m:ctrlPr>
                    </m:e>
                    <m:sub>
                      <m:r>
                        <m:rPr/>
                        <w:rPr>
                          <w:rFonts w:hint="default" w:ascii="DejaVu Math TeX Gyre" w:hAnsi="DejaVu Math TeX Gyre" w:eastAsia="仿宋" w:cs="FreeSerif"/>
                          <w:sz w:val="28"/>
                          <w:szCs w:val="28"/>
                        </w:rPr>
                        <m:t>i</m:t>
                      </m:r>
                      <m:ctrlPr>
                        <w:rPr>
                          <w:rFonts w:hint="default" w:ascii="DejaVu Math TeX Gyre" w:hAnsi="DejaVu Math TeX Gyre" w:eastAsia="仿宋" w:cs="FreeSerif"/>
                          <w:i/>
                          <w:sz w:val="28"/>
                          <w:szCs w:val="28"/>
                        </w:rPr>
                      </m:ctrlPr>
                    </m:sub>
                  </m:sSub>
                  <m:ctrlPr>
                    <w:rPr>
                      <w:rFonts w:hint="default" w:ascii="DejaVu Math TeX Gyre" w:hAnsi="DejaVu Math TeX Gyre" w:eastAsia="仿宋" w:cs="FreeSerif"/>
                      <w:sz w:val="28"/>
                      <w:szCs w:val="28"/>
                    </w:rPr>
                  </m:ctrlPr>
                </m:e>
              </m:nary>
              <m:sSub>
                <m:sSubPr>
                  <m:ctrlPr>
                    <w:rPr>
                      <w:rFonts w:hint="default" w:ascii="DejaVu Math TeX Gyre" w:hAnsi="DejaVu Math TeX Gyre" w:eastAsia="仿宋" w:cs="FreeSerif"/>
                      <w:i/>
                      <w:sz w:val="28"/>
                      <w:szCs w:val="28"/>
                    </w:rPr>
                  </m:ctrlPr>
                </m:sSubPr>
                <m:e>
                  <m:r>
                    <m:rPr/>
                    <w:rPr>
                      <w:rFonts w:hint="default" w:ascii="DejaVu Math TeX Gyre" w:hAnsi="DejaVu Math TeX Gyre" w:eastAsia="仿宋" w:cs="FreeSerif"/>
                      <w:sz w:val="28"/>
                      <w:szCs w:val="28"/>
                    </w:rPr>
                    <m:t>Q</m:t>
                  </m:r>
                  <m:ctrlPr>
                    <w:rPr>
                      <w:rFonts w:hint="default" w:ascii="DejaVu Math TeX Gyre" w:hAnsi="DejaVu Math TeX Gyre" w:eastAsia="仿宋" w:cs="FreeSerif"/>
                      <w:i/>
                      <w:sz w:val="28"/>
                      <w:szCs w:val="28"/>
                    </w:rPr>
                  </m:ctrlPr>
                </m:e>
                <m:sub>
                  <m:r>
                    <m:rPr/>
                    <w:rPr>
                      <w:rFonts w:hint="default" w:ascii="DejaVu Math TeX Gyre" w:hAnsi="DejaVu Math TeX Gyre" w:eastAsia="仿宋" w:cs="FreeSerif"/>
                      <w:sz w:val="28"/>
                      <w:szCs w:val="28"/>
                    </w:rPr>
                    <m:t>i</m:t>
                  </m:r>
                  <m:ctrlPr>
                    <w:rPr>
                      <w:rFonts w:hint="default" w:ascii="DejaVu Math TeX Gyre" w:hAnsi="DejaVu Math TeX Gyre" w:eastAsia="仿宋" w:cs="FreeSerif"/>
                      <w:i/>
                      <w:sz w:val="28"/>
                      <w:szCs w:val="28"/>
                    </w:rPr>
                  </m:ctrlPr>
                </m:sub>
              </m:sSub>
              <m:sSub>
                <m:sSubPr>
                  <m:ctrlPr>
                    <w:rPr>
                      <w:rFonts w:hint="default" w:ascii="DejaVu Math TeX Gyre" w:hAnsi="DejaVu Math TeX Gyre" w:eastAsia="仿宋" w:cs="FreeSerif"/>
                      <w:i/>
                      <w:sz w:val="28"/>
                      <w:szCs w:val="28"/>
                    </w:rPr>
                  </m:ctrlPr>
                </m:sSubPr>
                <m:e>
                  <m:r>
                    <m:rPr/>
                    <w:rPr>
                      <w:rFonts w:hint="default" w:ascii="DejaVu Math TeX Gyre" w:hAnsi="DejaVu Math TeX Gyre" w:eastAsia="仿宋" w:cs="FreeSerif"/>
                      <w:sz w:val="28"/>
                      <w:szCs w:val="28"/>
                    </w:rPr>
                    <m:t>L</m:t>
                  </m:r>
                  <m:ctrlPr>
                    <w:rPr>
                      <w:rFonts w:hint="default" w:ascii="DejaVu Math TeX Gyre" w:hAnsi="DejaVu Math TeX Gyre" w:eastAsia="仿宋" w:cs="FreeSerif"/>
                      <w:i/>
                      <w:sz w:val="28"/>
                      <w:szCs w:val="28"/>
                    </w:rPr>
                  </m:ctrlPr>
                </m:e>
                <m:sub>
                  <m:r>
                    <m:rPr/>
                    <w:rPr>
                      <w:rFonts w:hint="default" w:ascii="DejaVu Math TeX Gyre" w:hAnsi="DejaVu Math TeX Gyre" w:eastAsia="仿宋" w:cs="FreeSerif"/>
                      <w:sz w:val="28"/>
                      <w:szCs w:val="28"/>
                    </w:rPr>
                    <m:t>i</m:t>
                  </m:r>
                  <m:ctrlPr>
                    <w:rPr>
                      <w:rFonts w:hint="default" w:ascii="DejaVu Math TeX Gyre" w:hAnsi="DejaVu Math TeX Gyre" w:eastAsia="仿宋" w:cs="FreeSerif"/>
                      <w:i/>
                      <w:sz w:val="28"/>
                      <w:szCs w:val="28"/>
                    </w:rPr>
                  </m:ctrlPr>
                </m:sub>
              </m:sSub>
              <m:r>
                <m:rPr/>
                <w:rPr>
                  <w:rFonts w:hint="default" w:ascii="DejaVu Math TeX Gyre" w:hAnsi="DejaVu Math TeX Gyre" w:eastAsia="仿宋" w:cs="FreeSerif"/>
                  <w:sz w:val="28"/>
                  <w:szCs w:val="28"/>
                </w:rPr>
                <m:t>+</m:t>
              </m:r>
              <m:sSub>
                <m:sSubPr>
                  <m:ctrlPr>
                    <w:rPr>
                      <w:rFonts w:hint="default" w:ascii="DejaVu Math TeX Gyre" w:hAnsi="DejaVu Math TeX Gyre" w:eastAsia="仿宋" w:cs="FreeSerif"/>
                      <w:sz w:val="28"/>
                      <w:szCs w:val="28"/>
                    </w:rPr>
                  </m:ctrlPr>
                </m:sSubPr>
                <m:e>
                  <m:r>
                    <m:rPr/>
                    <w:rPr>
                      <w:rFonts w:hint="default" w:ascii="DejaVu Math TeX Gyre" w:hAnsi="DejaVu Math TeX Gyre" w:eastAsia="仿宋" w:cs="FreeSerif"/>
                      <w:sz w:val="28"/>
                      <w:szCs w:val="28"/>
                    </w:rPr>
                    <m:t>ρ</m:t>
                  </m:r>
                  <m:ctrlPr>
                    <w:rPr>
                      <w:rFonts w:hint="default" w:ascii="DejaVu Math TeX Gyre" w:hAnsi="DejaVu Math TeX Gyre" w:eastAsia="仿宋" w:cs="FreeSerif"/>
                      <w:sz w:val="28"/>
                      <w:szCs w:val="28"/>
                    </w:rPr>
                  </m:ctrlPr>
                </m:e>
                <m:sub>
                  <m:r>
                    <m:rPr/>
                    <w:rPr>
                      <w:rFonts w:hint="default" w:ascii="DejaVu Math TeX Gyre" w:hAnsi="DejaVu Math TeX Gyre" w:eastAsia="仿宋" w:cs="FreeSerif"/>
                      <w:sz w:val="28"/>
                      <w:szCs w:val="28"/>
                    </w:rPr>
                    <m:t>2</m:t>
                  </m:r>
                  <m:ctrlPr>
                    <w:rPr>
                      <w:rFonts w:hint="default" w:ascii="DejaVu Math TeX Gyre" w:hAnsi="DejaVu Math TeX Gyre" w:eastAsia="仿宋" w:cs="FreeSerif"/>
                      <w:sz w:val="28"/>
                      <w:szCs w:val="28"/>
                    </w:rPr>
                  </m:ctrlPr>
                </m:sub>
              </m:sSub>
              <m:nary>
                <m:naryPr>
                  <m:chr m:val="∑"/>
                  <m:limLoc m:val="undOvr"/>
                  <m:ctrlPr>
                    <w:rPr>
                      <w:rFonts w:hint="default" w:ascii="DejaVu Math TeX Gyre" w:hAnsi="DejaVu Math TeX Gyre" w:eastAsia="仿宋" w:cs="FreeSerif"/>
                      <w:sz w:val="28"/>
                      <w:szCs w:val="28"/>
                    </w:rPr>
                  </m:ctrlPr>
                </m:naryPr>
                <m:sub>
                  <m:r>
                    <m:rPr/>
                    <w:rPr>
                      <w:rFonts w:hint="default" w:ascii="DejaVu Math TeX Gyre" w:hAnsi="DejaVu Math TeX Gyre" w:eastAsia="仿宋" w:cs="FreeSerif"/>
                      <w:sz w:val="28"/>
                      <w:szCs w:val="28"/>
                    </w:rPr>
                    <m:t>j=1</m:t>
                  </m:r>
                  <m:ctrlPr>
                    <w:rPr>
                      <w:rFonts w:hint="default" w:ascii="DejaVu Math TeX Gyre" w:hAnsi="DejaVu Math TeX Gyre" w:eastAsia="仿宋" w:cs="FreeSerif"/>
                      <w:sz w:val="28"/>
                      <w:szCs w:val="28"/>
                    </w:rPr>
                  </m:ctrlPr>
                </m:sub>
                <m:sup>
                  <m:r>
                    <m:rPr/>
                    <w:rPr>
                      <w:rFonts w:hint="default" w:ascii="DejaVu Math TeX Gyre" w:hAnsi="DejaVu Math TeX Gyre" w:eastAsia="仿宋" w:cs="FreeSerif"/>
                      <w:sz w:val="28"/>
                      <w:szCs w:val="28"/>
                    </w:rPr>
                    <m:t>n</m:t>
                  </m:r>
                  <m:ctrlPr>
                    <w:rPr>
                      <w:rFonts w:hint="default" w:ascii="DejaVu Math TeX Gyre" w:hAnsi="DejaVu Math TeX Gyre" w:eastAsia="仿宋" w:cs="FreeSerif"/>
                      <w:sz w:val="28"/>
                      <w:szCs w:val="28"/>
                    </w:rPr>
                  </m:ctrlPr>
                </m:sup>
                <m:e>
                  <m:sSub>
                    <m:sSubPr>
                      <m:ctrlPr>
                        <w:rPr>
                          <w:rFonts w:hint="default" w:ascii="DejaVu Math TeX Gyre" w:hAnsi="DejaVu Math TeX Gyre" w:eastAsia="仿宋" w:cs="FreeSerif"/>
                          <w:i/>
                          <w:sz w:val="28"/>
                          <w:szCs w:val="28"/>
                        </w:rPr>
                      </m:ctrlPr>
                    </m:sSubPr>
                    <m:e>
                      <m:r>
                        <m:rPr/>
                        <w:rPr>
                          <w:rFonts w:hint="default" w:ascii="DejaVu Math TeX Gyre" w:hAnsi="DejaVu Math TeX Gyre" w:eastAsia="仿宋" w:cs="FreeSerif"/>
                          <w:sz w:val="28"/>
                          <w:szCs w:val="28"/>
                        </w:rPr>
                        <m:t>m</m:t>
                      </m:r>
                      <m:ctrlPr>
                        <w:rPr>
                          <w:rFonts w:hint="default" w:ascii="DejaVu Math TeX Gyre" w:hAnsi="DejaVu Math TeX Gyre" w:eastAsia="仿宋" w:cs="FreeSerif"/>
                          <w:i/>
                          <w:sz w:val="28"/>
                          <w:szCs w:val="28"/>
                        </w:rPr>
                      </m:ctrlPr>
                    </m:e>
                    <m:sub>
                      <m:r>
                        <m:rPr/>
                        <w:rPr>
                          <w:rFonts w:hint="default" w:ascii="DejaVu Math TeX Gyre" w:hAnsi="DejaVu Math TeX Gyre" w:eastAsia="仿宋" w:cs="FreeSerif"/>
                          <w:sz w:val="28"/>
                          <w:szCs w:val="28"/>
                        </w:rPr>
                        <m:t>j</m:t>
                      </m:r>
                      <m:ctrlPr>
                        <w:rPr>
                          <w:rFonts w:hint="default" w:ascii="DejaVu Math TeX Gyre" w:hAnsi="DejaVu Math TeX Gyre" w:eastAsia="仿宋" w:cs="FreeSerif"/>
                          <w:i/>
                          <w:sz w:val="28"/>
                          <w:szCs w:val="28"/>
                        </w:rPr>
                      </m:ctrlPr>
                    </m:sub>
                  </m:sSub>
                  <m:ctrlPr>
                    <w:rPr>
                      <w:rFonts w:hint="default" w:ascii="DejaVu Math TeX Gyre" w:hAnsi="DejaVu Math TeX Gyre" w:eastAsia="仿宋" w:cs="FreeSerif"/>
                      <w:sz w:val="28"/>
                      <w:szCs w:val="28"/>
                    </w:rPr>
                  </m:ctrlPr>
                </m:e>
              </m:nary>
              <m:sSub>
                <m:sSubPr>
                  <m:ctrlPr>
                    <w:rPr>
                      <w:rFonts w:hint="default" w:ascii="DejaVu Math TeX Gyre" w:hAnsi="DejaVu Math TeX Gyre" w:eastAsia="仿宋" w:cs="FreeSerif"/>
                      <w:i/>
                      <w:sz w:val="28"/>
                      <w:szCs w:val="28"/>
                    </w:rPr>
                  </m:ctrlPr>
                </m:sSubPr>
                <m:e>
                  <m:r>
                    <m:rPr/>
                    <w:rPr>
                      <w:rFonts w:hint="default" w:ascii="DejaVu Math TeX Gyre" w:hAnsi="DejaVu Math TeX Gyre" w:eastAsia="仿宋" w:cs="FreeSerif"/>
                      <w:sz w:val="28"/>
                      <w:szCs w:val="28"/>
                    </w:rPr>
                    <m:t>Q</m:t>
                  </m:r>
                  <m:ctrlPr>
                    <w:rPr>
                      <w:rFonts w:hint="default" w:ascii="DejaVu Math TeX Gyre" w:hAnsi="DejaVu Math TeX Gyre" w:eastAsia="仿宋" w:cs="FreeSerif"/>
                      <w:i/>
                      <w:sz w:val="28"/>
                      <w:szCs w:val="28"/>
                    </w:rPr>
                  </m:ctrlPr>
                </m:e>
                <m:sub>
                  <m:r>
                    <m:rPr/>
                    <w:rPr>
                      <w:rFonts w:hint="default" w:ascii="DejaVu Math TeX Gyre" w:hAnsi="DejaVu Math TeX Gyre" w:eastAsia="仿宋" w:cs="FreeSerif"/>
                      <w:sz w:val="28"/>
                      <w:szCs w:val="28"/>
                    </w:rPr>
                    <m:t>j</m:t>
                  </m:r>
                  <m:ctrlPr>
                    <w:rPr>
                      <w:rFonts w:hint="default" w:ascii="DejaVu Math TeX Gyre" w:hAnsi="DejaVu Math TeX Gyre" w:eastAsia="仿宋" w:cs="FreeSerif"/>
                      <w:i/>
                      <w:sz w:val="28"/>
                      <w:szCs w:val="28"/>
                    </w:rPr>
                  </m:ctrlPr>
                </m:sub>
              </m:sSub>
              <m:sSub>
                <m:sSubPr>
                  <m:ctrlPr>
                    <w:rPr>
                      <w:rFonts w:hint="default" w:ascii="DejaVu Math TeX Gyre" w:hAnsi="DejaVu Math TeX Gyre" w:eastAsia="仿宋" w:cs="FreeSerif"/>
                      <w:i/>
                      <w:sz w:val="28"/>
                      <w:szCs w:val="28"/>
                    </w:rPr>
                  </m:ctrlPr>
                </m:sSubPr>
                <m:e>
                  <m:r>
                    <m:rPr/>
                    <w:rPr>
                      <w:rFonts w:hint="default" w:ascii="DejaVu Math TeX Gyre" w:hAnsi="DejaVu Math TeX Gyre" w:eastAsia="仿宋" w:cs="FreeSerif"/>
                      <w:sz w:val="28"/>
                      <w:szCs w:val="28"/>
                    </w:rPr>
                    <m:t>L</m:t>
                  </m:r>
                  <m:ctrlPr>
                    <w:rPr>
                      <w:rFonts w:hint="default" w:ascii="DejaVu Math TeX Gyre" w:hAnsi="DejaVu Math TeX Gyre" w:eastAsia="仿宋" w:cs="FreeSerif"/>
                      <w:i/>
                      <w:sz w:val="28"/>
                      <w:szCs w:val="28"/>
                    </w:rPr>
                  </m:ctrlPr>
                </m:e>
                <m:sub>
                  <m:r>
                    <m:rPr/>
                    <w:rPr>
                      <w:rFonts w:hint="default" w:ascii="DejaVu Math TeX Gyre" w:hAnsi="DejaVu Math TeX Gyre" w:eastAsia="仿宋" w:cs="FreeSerif"/>
                      <w:sz w:val="28"/>
                      <w:szCs w:val="28"/>
                    </w:rPr>
                    <m:t>j</m:t>
                  </m:r>
                  <m:ctrlPr>
                    <w:rPr>
                      <w:rFonts w:hint="default" w:ascii="DejaVu Math TeX Gyre" w:hAnsi="DejaVu Math TeX Gyre" w:eastAsia="仿宋" w:cs="FreeSerif"/>
                      <w:i/>
                      <w:sz w:val="28"/>
                      <w:szCs w:val="28"/>
                    </w:rPr>
                  </m:ctrlPr>
                </m:sub>
              </m:sSub>
              <m:ctrlPr>
                <w:rPr>
                  <w:rFonts w:hint="default" w:ascii="DejaVu Math TeX Gyre" w:hAnsi="DejaVu Math TeX Gyre" w:eastAsia="仿宋" w:cs="FreeSerif"/>
                  <w:sz w:val="28"/>
                  <w:szCs w:val="28"/>
                </w:rPr>
              </m:ctrlPr>
            </m:num>
            <m:den>
              <m:r>
                <m:rPr/>
                <w:rPr>
                  <w:rFonts w:hint="default" w:ascii="DejaVu Math TeX Gyre" w:hAnsi="DejaVu Math TeX Gyre" w:eastAsia="仿宋" w:cs="FreeSerif"/>
                  <w:sz w:val="28"/>
                  <w:szCs w:val="28"/>
                </w:rPr>
                <m:t>1000</m:t>
              </m:r>
              <m:ctrlPr>
                <w:rPr>
                  <w:rFonts w:hint="default" w:ascii="DejaVu Math TeX Gyre" w:hAnsi="DejaVu Math TeX Gyre" w:eastAsia="仿宋" w:cs="FreeSerif"/>
                  <w:sz w:val="28"/>
                  <w:szCs w:val="28"/>
                </w:rPr>
              </m:ctrlPr>
            </m:den>
          </m:f>
        </m:oMath>
      </m:oMathPara>
    </w:p>
    <w:p>
      <w:pPr>
        <w:jc w:val="both"/>
        <w:rPr>
          <w:rFonts w:hint="default" w:ascii="FreeSerif" w:hAnsi="FreeSerif" w:eastAsia="仿宋_GB2312" w:cs="FreeSerif"/>
          <w:sz w:val="28"/>
          <w:szCs w:val="28"/>
        </w:rPr>
      </w:pPr>
      <w:r>
        <w:rPr>
          <w:rFonts w:hint="default" w:ascii="FreeSerif" w:hAnsi="FreeSerif" w:eastAsia="仿宋_GB2312" w:cs="FreeSerif"/>
          <w:sz w:val="28"/>
          <w:szCs w:val="28"/>
        </w:rPr>
        <w:t>式中：</w:t>
      </w:r>
    </w:p>
    <w:p>
      <w:pPr>
        <w:keepNext w:val="0"/>
        <w:keepLines w:val="0"/>
        <w:pageBreakBefore w:val="0"/>
        <w:widowControl w:val="0"/>
        <w:kinsoku/>
        <w:wordWrap/>
        <w:overflowPunct w:val="0"/>
        <w:topLinePunct w:val="0"/>
        <w:autoSpaceDE/>
        <w:autoSpaceDN/>
        <w:bidi w:val="0"/>
        <w:adjustRightInd/>
        <w:snapToGrid/>
        <w:ind w:firstLine="560" w:firstLineChars="200"/>
        <w:jc w:val="both"/>
        <w:textAlignment w:val="auto"/>
        <w:rPr>
          <w:rFonts w:hint="default" w:ascii="FreeSerif" w:hAnsi="FreeSerif" w:eastAsia="仿宋_GB2312" w:cs="FreeSerif"/>
          <w:sz w:val="28"/>
          <w:szCs w:val="28"/>
        </w:rPr>
      </w:pPr>
      <w:r>
        <w:rPr>
          <w:rFonts w:hint="default" w:ascii="FreeSerif" w:hAnsi="FreeSerif" w:eastAsia="仿宋_GB2312" w:cs="FreeSerif"/>
          <w:sz w:val="28"/>
          <w:szCs w:val="28"/>
        </w:rPr>
        <w:t>M——道路运输年耗油量（吨）；</w:t>
      </w:r>
    </w:p>
    <w:p>
      <w:pPr>
        <w:keepNext w:val="0"/>
        <w:keepLines w:val="0"/>
        <w:pageBreakBefore w:val="0"/>
        <w:widowControl w:val="0"/>
        <w:kinsoku/>
        <w:wordWrap/>
        <w:overflowPunct w:val="0"/>
        <w:topLinePunct w:val="0"/>
        <w:autoSpaceDE/>
        <w:autoSpaceDN/>
        <w:bidi w:val="0"/>
        <w:adjustRightInd/>
        <w:snapToGrid/>
        <w:ind w:firstLine="560" w:firstLineChars="200"/>
        <w:jc w:val="both"/>
        <w:textAlignment w:val="auto"/>
        <w:rPr>
          <w:rFonts w:hint="default" w:ascii="FreeSerif" w:hAnsi="FreeSerif" w:eastAsia="仿宋_GB2312" w:cs="FreeSerif"/>
          <w:sz w:val="28"/>
          <w:szCs w:val="28"/>
        </w:rPr>
      </w:pPr>
      <m:oMath>
        <m:sSub>
          <m:sSubPr>
            <m:ctrlPr>
              <w:rPr>
                <w:rFonts w:hint="default" w:ascii="DejaVu Math TeX Gyre" w:hAnsi="DejaVu Math TeX Gyre" w:eastAsia="仿宋_GB2312" w:cs="FreeSerif"/>
                <w:sz w:val="28"/>
                <w:szCs w:val="28"/>
              </w:rPr>
            </m:ctrlPr>
          </m:sSubPr>
          <m:e>
            <m:r>
              <m:rPr/>
              <w:rPr>
                <w:rFonts w:hint="default" w:ascii="DejaVu Math TeX Gyre" w:hAnsi="DejaVu Math TeX Gyre" w:eastAsia="仿宋_GB2312" w:cs="FreeSerif"/>
                <w:sz w:val="28"/>
                <w:szCs w:val="28"/>
              </w:rPr>
              <m:t>ρ</m:t>
            </m:r>
            <m:ctrlPr>
              <w:rPr>
                <w:rFonts w:hint="default" w:ascii="DejaVu Math TeX Gyre" w:hAnsi="DejaVu Math TeX Gyre" w:eastAsia="仿宋_GB2312" w:cs="FreeSerif"/>
                <w:sz w:val="28"/>
                <w:szCs w:val="28"/>
              </w:rPr>
            </m:ctrlPr>
          </m:e>
          <m:sub>
            <m:r>
              <m:rPr>
                <m:sty m:val="p"/>
              </m:rPr>
              <w:rPr>
                <w:rFonts w:hint="default" w:ascii="DejaVu Math TeX Gyre" w:hAnsi="DejaVu Math TeX Gyre" w:eastAsia="仿宋_GB2312" w:cs="FreeSerif"/>
                <w:sz w:val="28"/>
                <w:szCs w:val="28"/>
              </w:rPr>
              <m:t>1</m:t>
            </m:r>
            <m:ctrlPr>
              <w:rPr>
                <w:rFonts w:hint="default" w:ascii="DejaVu Math TeX Gyre" w:hAnsi="DejaVu Math TeX Gyre" w:eastAsia="仿宋_GB2312" w:cs="FreeSerif"/>
                <w:sz w:val="28"/>
                <w:szCs w:val="28"/>
              </w:rPr>
            </m:ctrlPr>
          </m:sub>
        </m:sSub>
        <m:r>
          <m:rPr>
            <m:sty m:val="p"/>
          </m:rPr>
          <w:rPr>
            <w:rFonts w:hint="default" w:ascii="DejaVu Math TeX Gyre" w:hAnsi="DejaVu Math TeX Gyre" w:eastAsia="仿宋_GB2312" w:cs="FreeSerif"/>
            <w:sz w:val="28"/>
            <w:szCs w:val="28"/>
          </w:rPr>
          <m:t>，</m:t>
        </m:r>
        <m:sSub>
          <m:sSubPr>
            <m:ctrlPr>
              <w:rPr>
                <w:rFonts w:hint="default" w:ascii="DejaVu Math TeX Gyre" w:hAnsi="DejaVu Math TeX Gyre" w:eastAsia="仿宋_GB2312" w:cs="FreeSerif"/>
                <w:sz w:val="28"/>
                <w:szCs w:val="28"/>
              </w:rPr>
            </m:ctrlPr>
          </m:sSubPr>
          <m:e>
            <m:r>
              <m:rPr/>
              <w:rPr>
                <w:rFonts w:hint="default" w:ascii="DejaVu Math TeX Gyre" w:hAnsi="DejaVu Math TeX Gyre" w:eastAsia="仿宋_GB2312" w:cs="FreeSerif"/>
                <w:sz w:val="28"/>
                <w:szCs w:val="28"/>
              </w:rPr>
              <m:t>ρ</m:t>
            </m:r>
            <m:ctrlPr>
              <w:rPr>
                <w:rFonts w:hint="default" w:ascii="DejaVu Math TeX Gyre" w:hAnsi="DejaVu Math TeX Gyre" w:eastAsia="仿宋_GB2312" w:cs="FreeSerif"/>
                <w:sz w:val="28"/>
                <w:szCs w:val="28"/>
              </w:rPr>
            </m:ctrlPr>
          </m:e>
          <m:sub>
            <m:r>
              <m:rPr>
                <m:sty m:val="p"/>
              </m:rPr>
              <w:rPr>
                <w:rFonts w:hint="default" w:ascii="DejaVu Math TeX Gyre" w:hAnsi="DejaVu Math TeX Gyre" w:eastAsia="仿宋_GB2312" w:cs="FreeSerif"/>
                <w:sz w:val="28"/>
                <w:szCs w:val="28"/>
              </w:rPr>
              <m:t>2</m:t>
            </m:r>
            <m:ctrlPr>
              <w:rPr>
                <w:rFonts w:hint="default" w:ascii="DejaVu Math TeX Gyre" w:hAnsi="DejaVu Math TeX Gyre" w:eastAsia="仿宋_GB2312" w:cs="FreeSerif"/>
                <w:sz w:val="28"/>
                <w:szCs w:val="28"/>
              </w:rPr>
            </m:ctrlPr>
          </m:sub>
        </m:sSub>
      </m:oMath>
      <w:r>
        <w:rPr>
          <w:rFonts w:hint="default" w:ascii="FreeSerif" w:hAnsi="FreeSerif" w:eastAsia="仿宋_GB2312" w:cs="FreeSerif"/>
          <w:sz w:val="28"/>
          <w:szCs w:val="28"/>
        </w:rPr>
        <w:t>——汽、柴油密度（公斤/升），</w:t>
      </w:r>
      <m:oMath>
        <m:sSub>
          <m:sSubPr>
            <m:ctrlPr>
              <w:rPr>
                <w:rFonts w:hint="default" w:ascii="DejaVu Math TeX Gyre" w:hAnsi="DejaVu Math TeX Gyre" w:eastAsia="仿宋_GB2312" w:cs="FreeSerif"/>
                <w:sz w:val="28"/>
                <w:szCs w:val="28"/>
              </w:rPr>
            </m:ctrlPr>
          </m:sSubPr>
          <m:e>
            <m:r>
              <m:rPr/>
              <w:rPr>
                <w:rFonts w:hint="default" w:ascii="DejaVu Math TeX Gyre" w:hAnsi="DejaVu Math TeX Gyre" w:eastAsia="仿宋_GB2312" w:cs="FreeSerif"/>
                <w:sz w:val="28"/>
                <w:szCs w:val="28"/>
              </w:rPr>
              <m:t>ρ</m:t>
            </m:r>
            <m:ctrlPr>
              <w:rPr>
                <w:rFonts w:hint="default" w:ascii="DejaVu Math TeX Gyre" w:hAnsi="DejaVu Math TeX Gyre" w:eastAsia="仿宋_GB2312" w:cs="FreeSerif"/>
                <w:sz w:val="28"/>
                <w:szCs w:val="28"/>
              </w:rPr>
            </m:ctrlPr>
          </m:e>
          <m:sub>
            <m:r>
              <m:rPr/>
              <w:rPr>
                <w:rFonts w:hint="default" w:ascii="DejaVu Math TeX Gyre" w:hAnsi="DejaVu Math TeX Gyre" w:eastAsia="仿宋_GB2312" w:cs="FreeSerif"/>
                <w:sz w:val="28"/>
                <w:szCs w:val="28"/>
              </w:rPr>
              <m:t>1</m:t>
            </m:r>
            <m:ctrlPr>
              <w:rPr>
                <w:rFonts w:hint="default" w:ascii="DejaVu Math TeX Gyre" w:hAnsi="DejaVu Math TeX Gyre" w:eastAsia="仿宋_GB2312" w:cs="FreeSerif"/>
                <w:sz w:val="28"/>
                <w:szCs w:val="28"/>
              </w:rPr>
            </m:ctrlPr>
          </m:sub>
        </m:sSub>
        <m:r>
          <m:rPr/>
          <w:rPr>
            <w:rFonts w:hint="default" w:ascii="DejaVu Math TeX Gyre" w:hAnsi="DejaVu Math TeX Gyre" w:eastAsia="仿宋_GB2312" w:cs="FreeSerif"/>
            <w:sz w:val="28"/>
            <w:szCs w:val="28"/>
          </w:rPr>
          <m:t>=0.74kg/升，</m:t>
        </m:r>
        <m:sSub>
          <m:sSubPr>
            <m:ctrlPr>
              <w:rPr>
                <w:rFonts w:hint="default" w:ascii="DejaVu Math TeX Gyre" w:hAnsi="DejaVu Math TeX Gyre" w:eastAsia="仿宋_GB2312" w:cs="FreeSerif"/>
                <w:sz w:val="28"/>
                <w:szCs w:val="28"/>
              </w:rPr>
            </m:ctrlPr>
          </m:sSubPr>
          <m:e>
            <m:r>
              <m:rPr/>
              <w:rPr>
                <w:rFonts w:hint="default" w:ascii="DejaVu Math TeX Gyre" w:hAnsi="DejaVu Math TeX Gyre" w:eastAsia="仿宋_GB2312" w:cs="FreeSerif"/>
                <w:sz w:val="28"/>
                <w:szCs w:val="28"/>
              </w:rPr>
              <m:t>ρ</m:t>
            </m:r>
            <m:ctrlPr>
              <w:rPr>
                <w:rFonts w:hint="default" w:ascii="DejaVu Math TeX Gyre" w:hAnsi="DejaVu Math TeX Gyre" w:eastAsia="仿宋_GB2312" w:cs="FreeSerif"/>
                <w:sz w:val="28"/>
                <w:szCs w:val="28"/>
              </w:rPr>
            </m:ctrlPr>
          </m:e>
          <m:sub>
            <m:r>
              <m:rPr/>
              <w:rPr>
                <w:rFonts w:hint="default" w:ascii="DejaVu Math TeX Gyre" w:hAnsi="DejaVu Math TeX Gyre" w:eastAsia="仿宋_GB2312" w:cs="FreeSerif"/>
                <w:sz w:val="28"/>
                <w:szCs w:val="28"/>
              </w:rPr>
              <m:t>2</m:t>
            </m:r>
            <m:ctrlPr>
              <w:rPr>
                <w:rFonts w:hint="default" w:ascii="DejaVu Math TeX Gyre" w:hAnsi="DejaVu Math TeX Gyre" w:eastAsia="仿宋_GB2312" w:cs="FreeSerif"/>
                <w:sz w:val="28"/>
                <w:szCs w:val="28"/>
              </w:rPr>
            </m:ctrlPr>
          </m:sub>
        </m:sSub>
        <m:r>
          <m:rPr/>
          <w:rPr>
            <w:rFonts w:hint="default" w:ascii="DejaVu Math TeX Gyre" w:hAnsi="DejaVu Math TeX Gyre" w:eastAsia="仿宋_GB2312" w:cs="FreeSerif"/>
            <w:sz w:val="28"/>
            <w:szCs w:val="28"/>
          </w:rPr>
          <m:t>=0.86kg/升</m:t>
        </m:r>
      </m:oMath>
      <w:r>
        <w:rPr>
          <w:rFonts w:hint="default" w:ascii="FreeSerif" w:hAnsi="FreeSerif" w:eastAsia="仿宋_GB2312" w:cs="FreeSerif"/>
          <w:sz w:val="28"/>
          <w:szCs w:val="28"/>
        </w:rPr>
        <w:t>；</w:t>
      </w:r>
    </w:p>
    <w:p>
      <w:pPr>
        <w:keepNext w:val="0"/>
        <w:keepLines w:val="0"/>
        <w:pageBreakBefore w:val="0"/>
        <w:widowControl w:val="0"/>
        <w:kinsoku/>
        <w:wordWrap/>
        <w:overflowPunct w:val="0"/>
        <w:topLinePunct w:val="0"/>
        <w:autoSpaceDE/>
        <w:autoSpaceDN/>
        <w:bidi w:val="0"/>
        <w:adjustRightInd/>
        <w:snapToGrid/>
        <w:ind w:firstLine="560" w:firstLineChars="200"/>
        <w:jc w:val="both"/>
        <w:textAlignment w:val="auto"/>
        <w:rPr>
          <w:rFonts w:hint="default" w:ascii="FreeSerif" w:hAnsi="FreeSerif" w:eastAsia="仿宋_GB2312" w:cs="FreeSerif"/>
          <w:sz w:val="28"/>
          <w:szCs w:val="28"/>
        </w:rPr>
      </w:pPr>
      <m:oMath>
        <m:sSub>
          <m:sSubPr>
            <m:ctrlPr>
              <w:rPr>
                <w:rFonts w:hint="default" w:ascii="DejaVu Math TeX Gyre" w:hAnsi="DejaVu Math TeX Gyre" w:eastAsia="仿宋_GB2312" w:cs="FreeSerif"/>
                <w:i/>
                <w:sz w:val="28"/>
                <w:szCs w:val="28"/>
              </w:rPr>
            </m:ctrlPr>
          </m:sSubPr>
          <m:e>
            <m:r>
              <m:rPr/>
              <w:rPr>
                <w:rFonts w:hint="default" w:ascii="DejaVu Math TeX Gyre" w:hAnsi="DejaVu Math TeX Gyre" w:eastAsia="仿宋_GB2312" w:cs="FreeSerif"/>
                <w:sz w:val="28"/>
                <w:szCs w:val="28"/>
              </w:rPr>
              <m:t>m</m:t>
            </m:r>
            <m:ctrlPr>
              <w:rPr>
                <w:rFonts w:hint="default" w:ascii="DejaVu Math TeX Gyre" w:hAnsi="DejaVu Math TeX Gyre" w:eastAsia="仿宋_GB2312" w:cs="FreeSerif"/>
                <w:i/>
                <w:sz w:val="28"/>
                <w:szCs w:val="28"/>
              </w:rPr>
            </m:ctrlPr>
          </m:e>
          <m:sub>
            <m:r>
              <m:rPr/>
              <w:rPr>
                <w:rFonts w:hint="default" w:ascii="DejaVu Math TeX Gyre" w:hAnsi="DejaVu Math TeX Gyre" w:eastAsia="仿宋_GB2312" w:cs="FreeSerif"/>
                <w:sz w:val="28"/>
                <w:szCs w:val="28"/>
              </w:rPr>
              <m:t>i</m:t>
            </m:r>
            <m:ctrlPr>
              <w:rPr>
                <w:rFonts w:hint="default" w:ascii="DejaVu Math TeX Gyre" w:hAnsi="DejaVu Math TeX Gyre" w:eastAsia="仿宋_GB2312" w:cs="FreeSerif"/>
                <w:i/>
                <w:sz w:val="28"/>
                <w:szCs w:val="28"/>
              </w:rPr>
            </m:ctrlPr>
          </m:sub>
        </m:sSub>
        <m:sSub>
          <m:sSubPr>
            <m:ctrlPr>
              <w:rPr>
                <w:rFonts w:hint="default" w:ascii="DejaVu Math TeX Gyre" w:hAnsi="DejaVu Math TeX Gyre" w:eastAsia="仿宋_GB2312" w:cs="FreeSerif"/>
                <w:i/>
                <w:sz w:val="28"/>
                <w:szCs w:val="28"/>
              </w:rPr>
            </m:ctrlPr>
          </m:sSubPr>
          <m:e>
            <m:r>
              <m:rPr/>
              <w:rPr>
                <w:rFonts w:hint="default" w:ascii="DejaVu Math TeX Gyre" w:hAnsi="DejaVu Math TeX Gyre" w:eastAsia="仿宋_GB2312" w:cs="FreeSerif"/>
                <w:sz w:val="28"/>
                <w:szCs w:val="28"/>
              </w:rPr>
              <m:t>，m</m:t>
            </m:r>
            <m:ctrlPr>
              <w:rPr>
                <w:rFonts w:hint="default" w:ascii="DejaVu Math TeX Gyre" w:hAnsi="DejaVu Math TeX Gyre" w:eastAsia="仿宋_GB2312" w:cs="FreeSerif"/>
                <w:i/>
                <w:sz w:val="28"/>
                <w:szCs w:val="28"/>
              </w:rPr>
            </m:ctrlPr>
          </m:e>
          <m:sub>
            <m:r>
              <m:rPr/>
              <w:rPr>
                <w:rFonts w:hint="default" w:ascii="DejaVu Math TeX Gyre" w:hAnsi="DejaVu Math TeX Gyre" w:eastAsia="仿宋_GB2312" w:cs="FreeSerif"/>
                <w:sz w:val="28"/>
                <w:szCs w:val="28"/>
              </w:rPr>
              <m:t>j</m:t>
            </m:r>
            <m:ctrlPr>
              <w:rPr>
                <w:rFonts w:hint="default" w:ascii="DejaVu Math TeX Gyre" w:hAnsi="DejaVu Math TeX Gyre" w:eastAsia="仿宋_GB2312" w:cs="FreeSerif"/>
                <w:i/>
                <w:sz w:val="28"/>
                <w:szCs w:val="28"/>
              </w:rPr>
            </m:ctrlPr>
          </m:sub>
        </m:sSub>
      </m:oMath>
      <w:r>
        <w:rPr>
          <w:rFonts w:hint="default" w:ascii="FreeSerif" w:hAnsi="FreeSerif" w:eastAsia="仿宋_GB2312" w:cs="FreeSerif"/>
          <w:sz w:val="28"/>
          <w:szCs w:val="28"/>
        </w:rPr>
        <w:t>——百公里油耗（升/百公里），i为各类汽油车，j为各类柴油车，</w:t>
      </w:r>
      <w:r>
        <w:rPr>
          <w:rFonts w:hint="default" w:ascii="FreeSerif" w:hAnsi="FreeSerif" w:eastAsia="仿宋_GB2312" w:cs="FreeSerif"/>
          <w:i/>
          <w:sz w:val="28"/>
          <w:szCs w:val="28"/>
        </w:rPr>
        <w:t>i，j</w:t>
      </w:r>
      <w:r>
        <w:rPr>
          <w:rFonts w:hint="default" w:ascii="FreeSerif" w:hAnsi="FreeSerif" w:eastAsia="仿宋_GB2312" w:cs="FreeSerif"/>
          <w:sz w:val="28"/>
          <w:szCs w:val="28"/>
        </w:rPr>
        <w:t>=1，……，</w:t>
      </w:r>
      <w:r>
        <w:rPr>
          <w:rFonts w:hint="default" w:ascii="FreeSerif" w:hAnsi="FreeSerif" w:eastAsia="仿宋_GB2312" w:cs="FreeSerif"/>
          <w:i/>
          <w:sz w:val="28"/>
          <w:szCs w:val="28"/>
        </w:rPr>
        <w:t>n</w:t>
      </w:r>
      <w:r>
        <w:rPr>
          <w:rFonts w:hint="default" w:ascii="FreeSerif" w:hAnsi="FreeSerif" w:eastAsia="仿宋_GB2312" w:cs="FreeSerif"/>
          <w:sz w:val="28"/>
          <w:szCs w:val="28"/>
        </w:rPr>
        <w:t>；</w:t>
      </w:r>
    </w:p>
    <w:p>
      <w:pPr>
        <w:keepNext w:val="0"/>
        <w:keepLines w:val="0"/>
        <w:pageBreakBefore w:val="0"/>
        <w:widowControl w:val="0"/>
        <w:kinsoku/>
        <w:wordWrap/>
        <w:overflowPunct w:val="0"/>
        <w:topLinePunct w:val="0"/>
        <w:autoSpaceDE/>
        <w:autoSpaceDN/>
        <w:bidi w:val="0"/>
        <w:adjustRightInd/>
        <w:snapToGrid/>
        <w:ind w:firstLine="560" w:firstLineChars="200"/>
        <w:jc w:val="both"/>
        <w:textAlignment w:val="auto"/>
        <w:rPr>
          <w:rFonts w:hint="default" w:ascii="FreeSerif" w:hAnsi="FreeSerif" w:eastAsia="仿宋_GB2312" w:cs="FreeSerif"/>
          <w:sz w:val="28"/>
          <w:szCs w:val="28"/>
        </w:rPr>
      </w:pPr>
      <m:oMath>
        <m:sSub>
          <m:sSubPr>
            <m:ctrlPr>
              <w:rPr>
                <w:rFonts w:hint="default" w:ascii="DejaVu Math TeX Gyre" w:hAnsi="DejaVu Math TeX Gyre" w:eastAsia="仿宋_GB2312" w:cs="FreeSerif"/>
                <w:i/>
                <w:sz w:val="28"/>
                <w:szCs w:val="28"/>
              </w:rPr>
            </m:ctrlPr>
          </m:sSubPr>
          <m:e>
            <m:r>
              <m:rPr/>
              <w:rPr>
                <w:rFonts w:hint="default" w:ascii="DejaVu Math TeX Gyre" w:hAnsi="DejaVu Math TeX Gyre" w:eastAsia="仿宋_GB2312" w:cs="FreeSerif"/>
                <w:sz w:val="28"/>
                <w:szCs w:val="28"/>
              </w:rPr>
              <m:t>Q</m:t>
            </m:r>
            <m:ctrlPr>
              <w:rPr>
                <w:rFonts w:hint="default" w:ascii="DejaVu Math TeX Gyre" w:hAnsi="DejaVu Math TeX Gyre" w:eastAsia="仿宋_GB2312" w:cs="FreeSerif"/>
                <w:i/>
                <w:sz w:val="28"/>
                <w:szCs w:val="28"/>
              </w:rPr>
            </m:ctrlPr>
          </m:e>
          <m:sub>
            <m:r>
              <m:rPr/>
              <w:rPr>
                <w:rFonts w:hint="default" w:ascii="DejaVu Math TeX Gyre" w:hAnsi="DejaVu Math TeX Gyre" w:eastAsia="仿宋_GB2312" w:cs="FreeSerif"/>
                <w:sz w:val="28"/>
                <w:szCs w:val="28"/>
              </w:rPr>
              <m:t>i</m:t>
            </m:r>
            <m:ctrlPr>
              <w:rPr>
                <w:rFonts w:hint="default" w:ascii="DejaVu Math TeX Gyre" w:hAnsi="DejaVu Math TeX Gyre" w:eastAsia="仿宋_GB2312" w:cs="FreeSerif"/>
                <w:i/>
                <w:sz w:val="28"/>
                <w:szCs w:val="28"/>
              </w:rPr>
            </m:ctrlPr>
          </m:sub>
        </m:sSub>
        <m:sSub>
          <m:sSubPr>
            <m:ctrlPr>
              <w:rPr>
                <w:rFonts w:hint="default" w:ascii="DejaVu Math TeX Gyre" w:hAnsi="DejaVu Math TeX Gyre" w:eastAsia="仿宋_GB2312" w:cs="FreeSerif"/>
                <w:i/>
                <w:sz w:val="28"/>
                <w:szCs w:val="28"/>
              </w:rPr>
            </m:ctrlPr>
          </m:sSubPr>
          <m:e>
            <m:r>
              <m:rPr/>
              <w:rPr>
                <w:rFonts w:hint="default" w:ascii="DejaVu Math TeX Gyre" w:hAnsi="DejaVu Math TeX Gyre" w:eastAsia="仿宋_GB2312" w:cs="FreeSerif"/>
                <w:sz w:val="28"/>
                <w:szCs w:val="28"/>
              </w:rPr>
              <m:t>，Q</m:t>
            </m:r>
            <m:ctrlPr>
              <w:rPr>
                <w:rFonts w:hint="default" w:ascii="DejaVu Math TeX Gyre" w:hAnsi="DejaVu Math TeX Gyre" w:eastAsia="仿宋_GB2312" w:cs="FreeSerif"/>
                <w:i/>
                <w:sz w:val="28"/>
                <w:szCs w:val="28"/>
              </w:rPr>
            </m:ctrlPr>
          </m:e>
          <m:sub>
            <m:r>
              <m:rPr/>
              <w:rPr>
                <w:rFonts w:hint="default" w:ascii="DejaVu Math TeX Gyre" w:hAnsi="DejaVu Math TeX Gyre" w:eastAsia="仿宋_GB2312" w:cs="FreeSerif"/>
                <w:sz w:val="28"/>
                <w:szCs w:val="28"/>
              </w:rPr>
              <m:t>j</m:t>
            </m:r>
            <m:ctrlPr>
              <w:rPr>
                <w:rFonts w:hint="default" w:ascii="DejaVu Math TeX Gyre" w:hAnsi="DejaVu Math TeX Gyre" w:eastAsia="仿宋_GB2312" w:cs="FreeSerif"/>
                <w:i/>
                <w:sz w:val="28"/>
                <w:szCs w:val="28"/>
              </w:rPr>
            </m:ctrlPr>
          </m:sub>
        </m:sSub>
      </m:oMath>
      <w:r>
        <w:rPr>
          <w:rFonts w:hint="default" w:ascii="FreeSerif" w:hAnsi="FreeSerif" w:eastAsia="仿宋_GB2312" w:cs="FreeSerif"/>
          <w:sz w:val="28"/>
          <w:szCs w:val="28"/>
        </w:rPr>
        <w:t>——各类型车辆数（辆）；</w:t>
      </w:r>
    </w:p>
    <w:p>
      <w:pPr>
        <w:keepNext w:val="0"/>
        <w:keepLines w:val="0"/>
        <w:pageBreakBefore w:val="0"/>
        <w:widowControl w:val="0"/>
        <w:kinsoku/>
        <w:wordWrap/>
        <w:overflowPunct w:val="0"/>
        <w:topLinePunct w:val="0"/>
        <w:autoSpaceDE/>
        <w:autoSpaceDN/>
        <w:bidi w:val="0"/>
        <w:adjustRightInd/>
        <w:snapToGrid/>
        <w:ind w:firstLine="560" w:firstLineChars="200"/>
        <w:jc w:val="both"/>
        <w:textAlignment w:val="auto"/>
        <w:rPr>
          <w:rFonts w:hint="default" w:ascii="FreeSerif" w:hAnsi="FreeSerif" w:eastAsia="仿宋_GB2312" w:cs="FreeSerif"/>
          <w:sz w:val="28"/>
          <w:szCs w:val="28"/>
        </w:rPr>
      </w:pPr>
      <m:oMath>
        <m:sSub>
          <m:sSubPr>
            <m:ctrlPr>
              <w:rPr>
                <w:rFonts w:hint="default" w:ascii="DejaVu Math TeX Gyre" w:hAnsi="DejaVu Math TeX Gyre" w:eastAsia="仿宋_GB2312" w:cs="FreeSerif"/>
                <w:i/>
                <w:sz w:val="28"/>
                <w:szCs w:val="28"/>
              </w:rPr>
            </m:ctrlPr>
          </m:sSubPr>
          <m:e>
            <m:r>
              <m:rPr/>
              <w:rPr>
                <w:rFonts w:hint="default" w:ascii="DejaVu Math TeX Gyre" w:hAnsi="DejaVu Math TeX Gyre" w:eastAsia="仿宋_GB2312" w:cs="FreeSerif"/>
                <w:sz w:val="28"/>
                <w:szCs w:val="28"/>
              </w:rPr>
              <m:t>L</m:t>
            </m:r>
            <m:ctrlPr>
              <w:rPr>
                <w:rFonts w:hint="default" w:ascii="DejaVu Math TeX Gyre" w:hAnsi="DejaVu Math TeX Gyre" w:eastAsia="仿宋_GB2312" w:cs="FreeSerif"/>
                <w:i/>
                <w:sz w:val="28"/>
                <w:szCs w:val="28"/>
              </w:rPr>
            </m:ctrlPr>
          </m:e>
          <m:sub>
            <m:r>
              <m:rPr/>
              <w:rPr>
                <w:rFonts w:hint="default" w:ascii="DejaVu Math TeX Gyre" w:hAnsi="DejaVu Math TeX Gyre" w:eastAsia="仿宋_GB2312" w:cs="FreeSerif"/>
                <w:sz w:val="28"/>
                <w:szCs w:val="28"/>
              </w:rPr>
              <m:t>i</m:t>
            </m:r>
            <m:ctrlPr>
              <w:rPr>
                <w:rFonts w:hint="default" w:ascii="DejaVu Math TeX Gyre" w:hAnsi="DejaVu Math TeX Gyre" w:eastAsia="仿宋_GB2312" w:cs="FreeSerif"/>
                <w:i/>
                <w:sz w:val="28"/>
                <w:szCs w:val="28"/>
              </w:rPr>
            </m:ctrlPr>
          </m:sub>
        </m:sSub>
        <m:sSub>
          <m:sSubPr>
            <m:ctrlPr>
              <w:rPr>
                <w:rFonts w:hint="default" w:ascii="DejaVu Math TeX Gyre" w:hAnsi="DejaVu Math TeX Gyre" w:eastAsia="仿宋_GB2312" w:cs="FreeSerif"/>
                <w:i/>
                <w:sz w:val="28"/>
                <w:szCs w:val="28"/>
              </w:rPr>
            </m:ctrlPr>
          </m:sSubPr>
          <m:e>
            <m:r>
              <m:rPr/>
              <w:rPr>
                <w:rFonts w:hint="default" w:ascii="DejaVu Math TeX Gyre" w:hAnsi="DejaVu Math TeX Gyre" w:eastAsia="仿宋_GB2312" w:cs="FreeSerif"/>
                <w:sz w:val="28"/>
                <w:szCs w:val="28"/>
              </w:rPr>
              <m:t>，L</m:t>
            </m:r>
            <m:ctrlPr>
              <w:rPr>
                <w:rFonts w:hint="default" w:ascii="DejaVu Math TeX Gyre" w:hAnsi="DejaVu Math TeX Gyre" w:eastAsia="仿宋_GB2312" w:cs="FreeSerif"/>
                <w:i/>
                <w:sz w:val="28"/>
                <w:szCs w:val="28"/>
              </w:rPr>
            </m:ctrlPr>
          </m:e>
          <m:sub>
            <m:r>
              <m:rPr/>
              <w:rPr>
                <w:rFonts w:hint="default" w:ascii="DejaVu Math TeX Gyre" w:hAnsi="DejaVu Math TeX Gyre" w:eastAsia="仿宋_GB2312" w:cs="FreeSerif"/>
                <w:sz w:val="28"/>
                <w:szCs w:val="28"/>
              </w:rPr>
              <m:t>j</m:t>
            </m:r>
            <m:ctrlPr>
              <w:rPr>
                <w:rFonts w:hint="default" w:ascii="DejaVu Math TeX Gyre" w:hAnsi="DejaVu Math TeX Gyre" w:eastAsia="仿宋_GB2312" w:cs="FreeSerif"/>
                <w:i/>
                <w:sz w:val="28"/>
                <w:szCs w:val="28"/>
              </w:rPr>
            </m:ctrlPr>
          </m:sub>
        </m:sSub>
      </m:oMath>
      <w:r>
        <w:rPr>
          <w:rFonts w:hint="default" w:ascii="FreeSerif" w:hAnsi="FreeSerif" w:eastAsia="仿宋_GB2312" w:cs="FreeSerif"/>
          <w:sz w:val="28"/>
          <w:szCs w:val="28"/>
        </w:rPr>
        <w:t>——各类车辆年均行驶里程（百公里/年）。</w:t>
      </w:r>
    </w:p>
    <w:p>
      <w:pPr>
        <w:spacing w:after="100" w:afterAutospacing="1"/>
        <w:ind w:firstLine="573"/>
        <w:jc w:val="both"/>
        <w:rPr>
          <w:rFonts w:hint="default" w:ascii="FreeSerif" w:hAnsi="FreeSerif" w:eastAsia="方正仿宋_GBK" w:cs="FreeSerif"/>
          <w:sz w:val="32"/>
          <w:szCs w:val="32"/>
        </w:rPr>
      </w:pPr>
      <w:r>
        <w:rPr>
          <w:rFonts w:hint="default" w:ascii="FreeSerif" w:hAnsi="FreeSerif" w:eastAsia="方正仿宋_GBK" w:cs="FreeSerif"/>
          <w:sz w:val="32"/>
          <w:szCs w:val="32"/>
        </w:rPr>
        <w:t>吉林省运政系统营运</w:t>
      </w:r>
      <w:r>
        <w:rPr>
          <w:rFonts w:hint="default" w:ascii="FreeSerif" w:hAnsi="FreeSerif" w:eastAsia="方正仿宋_GBK" w:cs="FreeSerif"/>
          <w:color w:val="000000" w:themeColor="text1"/>
          <w:sz w:val="32"/>
          <w:szCs w:val="32"/>
          <w14:textFill>
            <w14:solidFill>
              <w14:schemeClr w14:val="tx1"/>
            </w14:solidFill>
          </w14:textFill>
        </w:rPr>
        <w:t>车辆平均行驶里程抽</w:t>
      </w:r>
      <w:r>
        <w:rPr>
          <w:rFonts w:hint="default" w:ascii="FreeSerif" w:hAnsi="FreeSerif" w:eastAsia="方正仿宋_GBK" w:cs="FreeSerif"/>
          <w:sz w:val="32"/>
          <w:szCs w:val="32"/>
        </w:rPr>
        <w:t>样统计结果见表3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5。</w:t>
      </w:r>
    </w:p>
    <w:p>
      <w:pPr>
        <w:jc w:val="center"/>
        <w:rPr>
          <w:rFonts w:hint="default" w:ascii="FreeSerif" w:hAnsi="FreeSerif" w:eastAsia="方正黑体_GBK" w:cs="FreeSerif"/>
          <w:sz w:val="24"/>
          <w:szCs w:val="24"/>
        </w:rPr>
      </w:pPr>
    </w:p>
    <w:p>
      <w:pPr>
        <w:jc w:val="center"/>
        <w:rPr>
          <w:rFonts w:hint="default" w:ascii="FreeSerif" w:hAnsi="FreeSerif" w:eastAsia="方正黑体_GBK" w:cs="FreeSerif"/>
          <w:sz w:val="24"/>
          <w:szCs w:val="24"/>
        </w:rPr>
      </w:pPr>
    </w:p>
    <w:p>
      <w:pPr>
        <w:jc w:val="center"/>
        <w:rPr>
          <w:rFonts w:hint="default" w:ascii="FreeSerif" w:hAnsi="FreeSerif" w:eastAsia="方正黑体_GBK" w:cs="FreeSerif"/>
          <w:sz w:val="24"/>
          <w:szCs w:val="24"/>
        </w:rPr>
      </w:pPr>
    </w:p>
    <w:p>
      <w:pPr>
        <w:jc w:val="center"/>
        <w:rPr>
          <w:rFonts w:hint="default" w:ascii="FreeSerif" w:hAnsi="FreeSerif" w:eastAsia="方正黑体_GBK" w:cs="FreeSerif"/>
          <w:sz w:val="24"/>
          <w:szCs w:val="24"/>
        </w:rPr>
      </w:pPr>
    </w:p>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5  2020年各类车辆平均行驶里程       单位：百公里/年</w:t>
      </w:r>
    </w:p>
    <w:tbl>
      <w:tblPr>
        <w:tblStyle w:val="16"/>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345"/>
        <w:gridCol w:w="1255"/>
        <w:gridCol w:w="1500"/>
        <w:gridCol w:w="138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jc w:val="center"/>
        </w:trPr>
        <w:tc>
          <w:tcPr>
            <w:tcW w:w="1396" w:type="dxa"/>
            <w:tcMar>
              <w:left w:w="0" w:type="dxa"/>
              <w:right w:w="0" w:type="dxa"/>
            </w:tcMar>
            <w:vAlign w:val="center"/>
          </w:tcPr>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小型</w:t>
            </w:r>
          </w:p>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客车</w:t>
            </w:r>
          </w:p>
        </w:tc>
        <w:tc>
          <w:tcPr>
            <w:tcW w:w="1345" w:type="dxa"/>
            <w:tcMar>
              <w:left w:w="0" w:type="dxa"/>
              <w:right w:w="0" w:type="dxa"/>
            </w:tcMar>
            <w:vAlign w:val="center"/>
          </w:tcPr>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中型</w:t>
            </w:r>
          </w:p>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客车</w:t>
            </w:r>
          </w:p>
        </w:tc>
        <w:tc>
          <w:tcPr>
            <w:tcW w:w="1255" w:type="dxa"/>
            <w:tcMar>
              <w:left w:w="0" w:type="dxa"/>
              <w:right w:w="0" w:type="dxa"/>
            </w:tcMar>
            <w:vAlign w:val="center"/>
          </w:tcPr>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大型</w:t>
            </w:r>
          </w:p>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客车</w:t>
            </w:r>
          </w:p>
        </w:tc>
        <w:tc>
          <w:tcPr>
            <w:tcW w:w="1500" w:type="dxa"/>
            <w:tcMar>
              <w:left w:w="0" w:type="dxa"/>
              <w:right w:w="0" w:type="dxa"/>
            </w:tcMar>
            <w:vAlign w:val="center"/>
          </w:tcPr>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小（轻）型</w:t>
            </w:r>
          </w:p>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货车</w:t>
            </w:r>
          </w:p>
        </w:tc>
        <w:tc>
          <w:tcPr>
            <w:tcW w:w="1385" w:type="dxa"/>
            <w:vAlign w:val="center"/>
          </w:tcPr>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中型</w:t>
            </w:r>
          </w:p>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货车</w:t>
            </w:r>
          </w:p>
        </w:tc>
        <w:tc>
          <w:tcPr>
            <w:tcW w:w="1611" w:type="dxa"/>
            <w:vAlign w:val="center"/>
          </w:tcPr>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大（重）型</w:t>
            </w:r>
          </w:p>
          <w:p>
            <w:pPr>
              <w:jc w:val="center"/>
              <w:rPr>
                <w:rFonts w:hint="default" w:ascii="FreeSerif" w:hAnsi="FreeSerif" w:eastAsia="方正黑体_GBK" w:cs="FreeSerif"/>
                <w:b w:val="0"/>
                <w:bCs/>
                <w:sz w:val="20"/>
                <w:szCs w:val="20"/>
              </w:rPr>
            </w:pPr>
            <w:r>
              <w:rPr>
                <w:rFonts w:hint="default" w:ascii="FreeSerif" w:hAnsi="FreeSerif" w:eastAsia="方正黑体_GBK" w:cs="FreeSerif"/>
                <w:b w:val="0"/>
                <w:bCs/>
                <w:sz w:val="20"/>
                <w:szCs w:val="20"/>
              </w:rPr>
              <w:t>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1396"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70</w:t>
            </w:r>
          </w:p>
        </w:tc>
        <w:tc>
          <w:tcPr>
            <w:tcW w:w="1345"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80</w:t>
            </w:r>
          </w:p>
        </w:tc>
        <w:tc>
          <w:tcPr>
            <w:tcW w:w="1255"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200</w:t>
            </w:r>
          </w:p>
        </w:tc>
        <w:tc>
          <w:tcPr>
            <w:tcW w:w="150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90</w:t>
            </w:r>
          </w:p>
        </w:tc>
        <w:tc>
          <w:tcPr>
            <w:tcW w:w="138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100</w:t>
            </w:r>
          </w:p>
        </w:tc>
        <w:tc>
          <w:tcPr>
            <w:tcW w:w="1611"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270</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b w:val="0"/>
          <w:bCs w:val="0"/>
          <w:sz w:val="32"/>
          <w:szCs w:val="32"/>
        </w:rPr>
        <w:t>根据表3</w:t>
      </w:r>
      <w:r>
        <w:rPr>
          <w:rFonts w:hint="default" w:ascii="FreeSerif" w:hAnsi="FreeSerif" w:eastAsia="方正仿宋_GBK" w:cs="FreeSerif"/>
          <w:b w:val="0"/>
          <w:bCs w:val="0"/>
          <w:sz w:val="32"/>
          <w:szCs w:val="32"/>
          <w:lang w:val="en-US"/>
        </w:rPr>
        <w:t>－</w:t>
      </w:r>
      <w:r>
        <w:rPr>
          <w:rFonts w:hint="default" w:ascii="FreeSerif" w:hAnsi="FreeSerif" w:eastAsia="方正仿宋_GBK" w:cs="FreeSerif"/>
          <w:b w:val="0"/>
          <w:bCs w:val="0"/>
          <w:sz w:val="32"/>
          <w:szCs w:val="32"/>
        </w:rPr>
        <w:t>3</w:t>
      </w:r>
      <w:r>
        <w:rPr>
          <w:rFonts w:hint="default" w:ascii="FreeSerif" w:hAnsi="FreeSerif" w:eastAsia="方正仿宋_GBK" w:cs="FreeSerif"/>
          <w:b w:val="0"/>
          <w:bCs w:val="0"/>
          <w:sz w:val="32"/>
          <w:szCs w:val="32"/>
          <w:lang w:val="en"/>
        </w:rPr>
        <w:t>、</w:t>
      </w:r>
      <w:r>
        <w:rPr>
          <w:rFonts w:hint="default" w:ascii="FreeSerif" w:hAnsi="FreeSerif" w:eastAsia="方正仿宋_GBK" w:cs="FreeSerif"/>
          <w:b w:val="0"/>
          <w:bCs w:val="0"/>
          <w:sz w:val="32"/>
          <w:szCs w:val="32"/>
        </w:rPr>
        <w:t>表3</w:t>
      </w:r>
      <w:r>
        <w:rPr>
          <w:rFonts w:hint="default" w:ascii="FreeSerif" w:hAnsi="FreeSerif" w:eastAsia="方正仿宋_GBK" w:cs="FreeSerif"/>
          <w:b w:val="0"/>
          <w:bCs w:val="0"/>
          <w:sz w:val="32"/>
          <w:szCs w:val="32"/>
          <w:lang w:val="en-US"/>
        </w:rPr>
        <w:t>－</w:t>
      </w:r>
      <w:r>
        <w:rPr>
          <w:rFonts w:hint="default" w:ascii="FreeSerif" w:hAnsi="FreeSerif" w:eastAsia="方正仿宋_GBK" w:cs="FreeSerif"/>
          <w:b w:val="0"/>
          <w:bCs w:val="0"/>
          <w:sz w:val="32"/>
          <w:szCs w:val="32"/>
        </w:rPr>
        <w:t>5和道路运输年耗油量测算模型，白</w:t>
      </w:r>
      <w:r>
        <w:rPr>
          <w:rFonts w:hint="default" w:ascii="FreeSerif" w:hAnsi="FreeSerif" w:eastAsia="方正仿宋_GBK" w:cs="FreeSerif"/>
          <w:sz w:val="32"/>
          <w:szCs w:val="32"/>
        </w:rPr>
        <w:t>城市2021年道路运输成品油消耗总量为22.94万吨，其中汽油15.41万吨，柴油7.53万吨。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lang w:val="en"/>
        </w:rPr>
      </w:pPr>
      <w:r>
        <w:rPr>
          <w:rFonts w:hint="default" w:ascii="FreeSerif" w:hAnsi="FreeSerif" w:eastAsia="方正仿宋_GBK" w:cs="FreeSerif"/>
          <w:sz w:val="32"/>
          <w:szCs w:val="32"/>
        </w:rPr>
        <w:t>（2）农业机械用成品油</w:t>
      </w:r>
      <w:r>
        <w:rPr>
          <w:rFonts w:hint="default" w:ascii="FreeSerif" w:hAnsi="FreeSerif" w:eastAsia="方正仿宋_GBK" w:cs="FreeSerif"/>
          <w:sz w:val="32"/>
          <w:szCs w:val="32"/>
          <w:lang w:val="en"/>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白城市农业农村局提供的农业机械保有量统计数据见表3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6。由表中数据可知，白城市农用机械近年来一直保持低水平增长态势。</w:t>
      </w:r>
    </w:p>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6  白城市农用机械保有量统计表       单位：台</w:t>
      </w:r>
    </w:p>
    <w:tbl>
      <w:tblPr>
        <w:tblStyle w:val="16"/>
        <w:tblpPr w:leftFromText="180" w:rightFromText="180" w:vertAnchor="text" w:tblpXSpec="center" w:tblpY="1"/>
        <w:tblOverlap w:val="never"/>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920"/>
        <w:gridCol w:w="920"/>
        <w:gridCol w:w="1075"/>
        <w:gridCol w:w="922"/>
        <w:gridCol w:w="1825"/>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0" w:type="auto"/>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年份</w:t>
            </w:r>
          </w:p>
        </w:tc>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拖拉机</w:t>
            </w:r>
          </w:p>
        </w:tc>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耕整机</w:t>
            </w:r>
          </w:p>
        </w:tc>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旋耕机</w:t>
            </w:r>
          </w:p>
        </w:tc>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播种机</w:t>
            </w:r>
          </w:p>
        </w:tc>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排灌动力机械</w:t>
            </w:r>
          </w:p>
        </w:tc>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联合收获机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0" w:type="auto"/>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2019</w:t>
            </w:r>
          </w:p>
        </w:tc>
        <w:tc>
          <w:tcPr>
            <w:tcW w:w="92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177517</w:t>
            </w:r>
          </w:p>
        </w:tc>
        <w:tc>
          <w:tcPr>
            <w:tcW w:w="92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78</w:t>
            </w:r>
          </w:p>
        </w:tc>
        <w:tc>
          <w:tcPr>
            <w:tcW w:w="107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28096</w:t>
            </w:r>
          </w:p>
        </w:tc>
        <w:tc>
          <w:tcPr>
            <w:tcW w:w="922"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95619</w:t>
            </w:r>
          </w:p>
        </w:tc>
        <w:tc>
          <w:tcPr>
            <w:tcW w:w="182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106810</w:t>
            </w:r>
          </w:p>
        </w:tc>
        <w:tc>
          <w:tcPr>
            <w:tcW w:w="1523"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2020</w:t>
            </w:r>
          </w:p>
        </w:tc>
        <w:tc>
          <w:tcPr>
            <w:tcW w:w="92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183918</w:t>
            </w:r>
          </w:p>
        </w:tc>
        <w:tc>
          <w:tcPr>
            <w:tcW w:w="92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78</w:t>
            </w:r>
          </w:p>
        </w:tc>
        <w:tc>
          <w:tcPr>
            <w:tcW w:w="107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32596</w:t>
            </w:r>
          </w:p>
        </w:tc>
        <w:tc>
          <w:tcPr>
            <w:tcW w:w="922"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95865</w:t>
            </w:r>
          </w:p>
        </w:tc>
        <w:tc>
          <w:tcPr>
            <w:tcW w:w="182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105289</w:t>
            </w:r>
          </w:p>
        </w:tc>
        <w:tc>
          <w:tcPr>
            <w:tcW w:w="1523"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14759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0" w:type="auto"/>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2021</w:t>
            </w:r>
          </w:p>
        </w:tc>
        <w:tc>
          <w:tcPr>
            <w:tcW w:w="92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188644</w:t>
            </w:r>
          </w:p>
        </w:tc>
        <w:tc>
          <w:tcPr>
            <w:tcW w:w="92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60</w:t>
            </w:r>
          </w:p>
        </w:tc>
        <w:tc>
          <w:tcPr>
            <w:tcW w:w="107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33324</w:t>
            </w:r>
          </w:p>
        </w:tc>
        <w:tc>
          <w:tcPr>
            <w:tcW w:w="922"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97226</w:t>
            </w:r>
          </w:p>
        </w:tc>
        <w:tc>
          <w:tcPr>
            <w:tcW w:w="1825"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103040</w:t>
            </w:r>
          </w:p>
        </w:tc>
        <w:tc>
          <w:tcPr>
            <w:tcW w:w="1523"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15465</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中国农业机械油耗情况调查统计结果和吉林省农业生产实际，有燃油需求的拖拉机、播种机、排灌动力机械和联合收获机的平均年消耗柴油量分别为210升、120升、150和220升，因此可测算得出2021年白城市农用机械共耗油约6.03万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lang w:val="en"/>
        </w:rPr>
      </w:pPr>
      <w:r>
        <w:rPr>
          <w:rFonts w:hint="default" w:ascii="FreeSerif" w:hAnsi="FreeSerif" w:eastAsia="方正仿宋_GBK" w:cs="FreeSerif"/>
          <w:sz w:val="32"/>
          <w:szCs w:val="32"/>
        </w:rPr>
        <w:t>（3）机动船用成品油</w:t>
      </w:r>
      <w:r>
        <w:rPr>
          <w:rFonts w:hint="default" w:ascii="FreeSerif" w:hAnsi="FreeSerif" w:eastAsia="方正仿宋_GBK" w:cs="FreeSerif"/>
          <w:sz w:val="32"/>
          <w:szCs w:val="32"/>
          <w:lang w:val="en"/>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根据白城市地方海事局提供的数据，白城市2021年共有机动船舶3艘，机动船水上作业所消耗的成品油约为10.2吨。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根据以上测算，2021年白城市汽车、农机和机动船所需消耗的成品油共计28.97万吨，按以上成品油消耗量占全社会成品油消耗量95%计，则白城市2021年第三类危险品消耗总量约为30.49万吨。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成品油绝大部分均使用大（重）型货车运输，以单车平均载重量10吨，车辆工作率85%，车辆完好率95%，车辆行程利用率45%，载重量利用率90%计，则单车年运输量约为1200吨。因此254辆大（重）型载重汽车方可满足白城市第三类危险品现状运输需求。这一数量远大于现有统计车辆数，主要原因是存在大量异地经营车辆在白城市运输第三类危险品。</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目前吉林西部（大安）清洁能源化工产业园区有1户企业正在建设废旧资源回收综合利用项目，该项目以废矿物油为原料，得到润滑油基础油和燃料油，预计消耗废矿物6万吨/年、油土5万吨/年，产出润滑油基础油和燃料油共计6.47万吨，另外园内有1户企业以三类危险品（丙烯腈）为生产原料，拟消耗5万吨/年，92辆大（重）型载重汽车方可满足上述运输需求，因此在2022年</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2030年释放第三类危险品运力指标时，也应将其考虑其中。</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3.3.4 第六类危险品（医疗废物等感染性物质）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医疗废物是指医疗卫生机构在医疗、预防、保健以及其他相关活动中产生的具有直接或者间接感染性、毒性以及其他危害性的废物。尤其在传染病疫情期间，相关涉疫医废具有高度感染性，需要严格按照技术规范要求收集、分开存放、专车运输、优先处置并做到</w:t>
      </w:r>
      <w:r>
        <w:rPr>
          <w:rFonts w:hint="eastAsia" w:ascii="方正仿宋_GBK" w:hAnsi="方正仿宋_GBK" w:eastAsia="方正仿宋_GBK" w:cs="方正仿宋_GBK"/>
          <w:sz w:val="32"/>
          <w:szCs w:val="32"/>
        </w:rPr>
        <w:t>“日产日清”</w:t>
      </w:r>
      <w:r>
        <w:rPr>
          <w:rFonts w:hint="default" w:ascii="FreeSerif" w:hAnsi="FreeSerif" w:eastAsia="方正仿宋_GBK" w:cs="FreeSerif"/>
          <w:sz w:val="32"/>
          <w:szCs w:val="32"/>
        </w:rPr>
        <w:t>，医废的安全无害处置尤为重要和紧迫。根据就近集中处置的原则，白城市产生的医废应由本地的医废处置单位处置。</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目前白城市暂无该类别危险品的运输车辆，未来可视发展情况在道路危险货物运力规划中增加该类别危险品运输车辆投放指标。</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3.3.5 第八类危险品（硫酸等腐蚀性物质）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有7家企业从事第八类危险品（硫酸）的生产和销售。近三年白城市该类危险品运输需求基本保持在3000~4000吨，但目前白城市本地并无经营该类别危险品道路运输的企业，若未来持续按此趋势发展，可在道路危险货物运力规划中增设该类别危险品运输车辆投放指标。</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3.3.6 第九类危险品（危废等其他类危险品）</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7可知，近三年白城市第九类危险品生产、销售和使用量持续增长，目前白城市本地已有1辆该类别危险品运输车辆，</w:t>
      </w:r>
      <w:bookmarkStart w:id="83" w:name="_Hlk86686394"/>
      <w:r>
        <w:rPr>
          <w:rFonts w:hint="default" w:ascii="FreeSerif" w:hAnsi="FreeSerif" w:eastAsia="方正仿宋_GBK" w:cs="FreeSerif"/>
          <w:sz w:val="32"/>
          <w:szCs w:val="32"/>
        </w:rPr>
        <w:t>若未来持续按此趋势发展，可在道路危险货物运力规划中增设该类别危险品运输车辆投放指标。</w:t>
      </w:r>
      <w:bookmarkEnd w:id="83"/>
    </w:p>
    <w:p>
      <w:pPr>
        <w:jc w:val="center"/>
        <w:rPr>
          <w:rFonts w:hint="default" w:ascii="FreeSerif" w:hAnsi="FreeSerif" w:eastAsia="方正黑体_GBK" w:cs="FreeSerif"/>
          <w:sz w:val="21"/>
          <w:szCs w:val="21"/>
        </w:rPr>
      </w:pPr>
    </w:p>
    <w:p>
      <w:pPr>
        <w:jc w:val="center"/>
        <w:rPr>
          <w:rFonts w:hint="default" w:ascii="FreeSerif" w:hAnsi="FreeSerif" w:eastAsia="方正黑体_GBK" w:cs="FreeSerif"/>
          <w:sz w:val="21"/>
          <w:szCs w:val="21"/>
        </w:rPr>
      </w:pPr>
    </w:p>
    <w:p>
      <w:pPr>
        <w:jc w:val="center"/>
        <w:rPr>
          <w:rFonts w:hint="default" w:ascii="FreeSerif" w:hAnsi="FreeSerif" w:eastAsia="方正黑体_GBK" w:cs="FreeSerif"/>
          <w:sz w:val="21"/>
          <w:szCs w:val="21"/>
        </w:rPr>
      </w:pPr>
    </w:p>
    <w:p>
      <w:pPr>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表3</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7  2019</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2021年第九类危险品生产、销售和使用量（吨）</w:t>
      </w:r>
    </w:p>
    <w:tbl>
      <w:tblPr>
        <w:tblStyle w:val="1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7"/>
        <w:gridCol w:w="1985"/>
        <w:gridCol w:w="1842"/>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2507"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年份</w:t>
            </w:r>
          </w:p>
        </w:tc>
        <w:tc>
          <w:tcPr>
            <w:tcW w:w="1985"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2019</w:t>
            </w:r>
          </w:p>
        </w:tc>
        <w:tc>
          <w:tcPr>
            <w:tcW w:w="1842"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2020</w:t>
            </w:r>
          </w:p>
        </w:tc>
        <w:tc>
          <w:tcPr>
            <w:tcW w:w="2166"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2507"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产、销、用量（万吨）</w:t>
            </w:r>
          </w:p>
        </w:tc>
        <w:tc>
          <w:tcPr>
            <w:tcW w:w="1985"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2.2</w:t>
            </w:r>
          </w:p>
        </w:tc>
        <w:tc>
          <w:tcPr>
            <w:tcW w:w="1842"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2.4</w:t>
            </w:r>
          </w:p>
        </w:tc>
        <w:tc>
          <w:tcPr>
            <w:tcW w:w="2166" w:type="dxa"/>
            <w:tcMar>
              <w:left w:w="0" w:type="dxa"/>
              <w:right w:w="0" w:type="dxa"/>
            </w:tcMar>
            <w:vAlign w:val="center"/>
          </w:tcPr>
          <w:p>
            <w:pPr>
              <w:jc w:val="center"/>
              <w:rPr>
                <w:rFonts w:hint="default" w:ascii="FreeSerif" w:hAnsi="FreeSerif" w:eastAsia="方正仿宋_GBK" w:cs="FreeSerif"/>
                <w:b w:val="0"/>
                <w:bCs w:val="0"/>
                <w:szCs w:val="21"/>
              </w:rPr>
            </w:pPr>
            <w:r>
              <w:rPr>
                <w:rFonts w:hint="default" w:ascii="FreeSerif" w:hAnsi="FreeSerif" w:eastAsia="方正仿宋_GBK" w:cs="FreeSerif"/>
                <w:b w:val="0"/>
                <w:bCs w:val="0"/>
                <w:szCs w:val="21"/>
              </w:rPr>
              <w:t>4.6</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84" w:name="_Toc88288491"/>
      <w:bookmarkStart w:id="85" w:name="_Toc71998617"/>
      <w:r>
        <w:rPr>
          <w:rFonts w:hint="default" w:ascii="FreeSerif" w:hAnsi="FreeSerif" w:eastAsia="方正楷体_GBK" w:cs="FreeSerif"/>
          <w:sz w:val="32"/>
          <w:szCs w:val="32"/>
        </w:rPr>
        <w:t>3.4 市场预测</w:t>
      </w:r>
      <w:bookmarkEnd w:id="84"/>
      <w:bookmarkEnd w:id="85"/>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3用增长率法可预测2030年白城市汽车保有量如表3</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8所示。</w:t>
      </w:r>
    </w:p>
    <w:p>
      <w:pPr>
        <w:jc w:val="center"/>
        <w:rPr>
          <w:rFonts w:hint="default" w:ascii="FreeSerif" w:hAnsi="FreeSerif" w:eastAsia="方正黑体_GBK" w:cs="FreeSerif"/>
          <w:b w:val="0"/>
          <w:bCs w:val="0"/>
          <w:color w:val="000000" w:themeColor="text1"/>
          <w:sz w:val="24"/>
          <w:szCs w:val="24"/>
          <w14:textFill>
            <w14:solidFill>
              <w14:schemeClr w14:val="tx1"/>
            </w14:solidFill>
          </w14:textFill>
        </w:rPr>
      </w:pPr>
      <w:r>
        <w:rPr>
          <w:rFonts w:hint="default" w:ascii="FreeSerif" w:hAnsi="FreeSerif" w:eastAsia="方正黑体_GBK" w:cs="FreeSerif"/>
          <w:b w:val="0"/>
          <w:bCs w:val="0"/>
          <w:sz w:val="24"/>
          <w:szCs w:val="24"/>
        </w:rPr>
        <w:t>表3</w:t>
      </w:r>
      <w:r>
        <w:rPr>
          <w:rFonts w:hint="default" w:ascii="FreeSerif" w:hAnsi="FreeSerif" w:eastAsia="方正黑体_GBK" w:cs="FreeSerif"/>
          <w:b w:val="0"/>
          <w:bCs w:val="0"/>
          <w:sz w:val="24"/>
          <w:szCs w:val="24"/>
          <w:lang w:val="en-US"/>
        </w:rPr>
        <w:t>－</w:t>
      </w:r>
      <w:r>
        <w:rPr>
          <w:rFonts w:hint="default" w:ascii="FreeSerif" w:hAnsi="FreeSerif" w:eastAsia="方正黑体_GBK" w:cs="FreeSerif"/>
          <w:b w:val="0"/>
          <w:bCs w:val="0"/>
          <w:sz w:val="24"/>
          <w:szCs w:val="24"/>
        </w:rPr>
        <w:t>8  白城市2030年汽车</w:t>
      </w:r>
      <w:r>
        <w:rPr>
          <w:rFonts w:hint="default" w:ascii="FreeSerif" w:hAnsi="FreeSerif" w:eastAsia="方正黑体_GBK" w:cs="FreeSerif"/>
          <w:b w:val="0"/>
          <w:bCs w:val="0"/>
          <w:color w:val="000000" w:themeColor="text1"/>
          <w:sz w:val="24"/>
          <w:szCs w:val="24"/>
          <w14:textFill>
            <w14:solidFill>
              <w14:schemeClr w14:val="tx1"/>
            </w14:solidFill>
          </w14:textFill>
        </w:rPr>
        <w:t>保有量预测表       单位：辆</w:t>
      </w:r>
    </w:p>
    <w:tbl>
      <w:tblPr>
        <w:tblStyle w:val="17"/>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574"/>
        <w:gridCol w:w="1009"/>
        <w:gridCol w:w="1010"/>
        <w:gridCol w:w="1010"/>
        <w:gridCol w:w="1010"/>
        <w:gridCol w:w="1010"/>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0" w:type="auto"/>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年份</w:t>
            </w:r>
          </w:p>
        </w:tc>
        <w:tc>
          <w:tcPr>
            <w:tcW w:w="1574"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汽车保有量</w:t>
            </w:r>
          </w:p>
        </w:tc>
        <w:tc>
          <w:tcPr>
            <w:tcW w:w="1009"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小客</w:t>
            </w:r>
          </w:p>
        </w:tc>
        <w:tc>
          <w:tcPr>
            <w:tcW w:w="1010"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中客</w:t>
            </w:r>
          </w:p>
        </w:tc>
        <w:tc>
          <w:tcPr>
            <w:tcW w:w="1010"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大客</w:t>
            </w:r>
          </w:p>
        </w:tc>
        <w:tc>
          <w:tcPr>
            <w:tcW w:w="1010" w:type="dxa"/>
            <w:tcMar>
              <w:left w:w="0" w:type="dxa"/>
              <w:right w:w="0" w:type="dxa"/>
            </w:tcMar>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小货</w:t>
            </w:r>
          </w:p>
        </w:tc>
        <w:tc>
          <w:tcPr>
            <w:tcW w:w="1010" w:type="dxa"/>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中货</w:t>
            </w:r>
          </w:p>
        </w:tc>
        <w:tc>
          <w:tcPr>
            <w:tcW w:w="1010" w:type="dxa"/>
            <w:vAlign w:val="center"/>
          </w:tcPr>
          <w:p>
            <w:pPr>
              <w:jc w:val="center"/>
              <w:rPr>
                <w:rFonts w:hint="default" w:ascii="FreeSerif" w:hAnsi="FreeSerif" w:eastAsia="方正黑体_GBK" w:cs="FreeSerif"/>
                <w:b w:val="0"/>
                <w:bCs/>
                <w:szCs w:val="21"/>
              </w:rPr>
            </w:pPr>
            <w:r>
              <w:rPr>
                <w:rFonts w:hint="default" w:ascii="FreeSerif" w:hAnsi="FreeSerif" w:eastAsia="方正黑体_GBK" w:cs="FreeSerif"/>
                <w:b w:val="0"/>
                <w:bCs/>
                <w:szCs w:val="21"/>
              </w:rPr>
              <w:t>大货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0" w:type="auto"/>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2030</w:t>
            </w:r>
          </w:p>
        </w:tc>
        <w:tc>
          <w:tcPr>
            <w:tcW w:w="1574"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505697</w:t>
            </w:r>
          </w:p>
        </w:tc>
        <w:tc>
          <w:tcPr>
            <w:tcW w:w="1009"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445825</w:t>
            </w:r>
          </w:p>
        </w:tc>
        <w:tc>
          <w:tcPr>
            <w:tcW w:w="101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1082</w:t>
            </w:r>
          </w:p>
        </w:tc>
        <w:tc>
          <w:tcPr>
            <w:tcW w:w="101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2217</w:t>
            </w:r>
          </w:p>
        </w:tc>
        <w:tc>
          <w:tcPr>
            <w:tcW w:w="1010" w:type="dxa"/>
            <w:tcMar>
              <w:left w:w="0" w:type="dxa"/>
              <w:right w:w="0" w:type="dxa"/>
            </w:tcMar>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42880</w:t>
            </w:r>
          </w:p>
        </w:tc>
        <w:tc>
          <w:tcPr>
            <w:tcW w:w="1010"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1248</w:t>
            </w:r>
          </w:p>
        </w:tc>
        <w:tc>
          <w:tcPr>
            <w:tcW w:w="1010" w:type="dxa"/>
            <w:vAlign w:val="center"/>
          </w:tcPr>
          <w:p>
            <w:pPr>
              <w:jc w:val="center"/>
              <w:rPr>
                <w:rFonts w:hint="default" w:ascii="FreeSerif" w:hAnsi="FreeSerif" w:eastAsia="方正仿宋_GBK" w:cs="FreeSerif"/>
                <w:szCs w:val="21"/>
              </w:rPr>
            </w:pPr>
            <w:r>
              <w:rPr>
                <w:rFonts w:hint="default" w:ascii="FreeSerif" w:hAnsi="FreeSerif" w:eastAsia="方正仿宋_GBK" w:cs="FreeSerif"/>
                <w:szCs w:val="21"/>
              </w:rPr>
              <w:t>12445</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根据白城市危险货物道路运输市场供需调研资料，采用因素分析预测法、对比类推法等方法进行综合分析，对至2030年白城市危险货物道路运输市场供需状况预测如下：</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（1）运力供给与市场需求不相适应的状况将继续存在。但在管理部门对运力供给做出适当调控后，市场供求关系将得到一定程度的改善。</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（2）危险货物道路运输市场竞争有加剧迹象</w:t>
      </w:r>
      <w:r>
        <w:rPr>
          <w:rFonts w:hint="eastAsia" w:ascii="方正仿宋_GBK" w:hAnsi="方正仿宋_GBK" w:eastAsia="方正仿宋_GBK" w:cs="方正仿宋_GBK"/>
          <w:sz w:val="32"/>
          <w:szCs w:val="32"/>
        </w:rPr>
        <w:t>。在“优胜劣汰”</w:t>
      </w:r>
      <w:r>
        <w:rPr>
          <w:rFonts w:hint="default" w:ascii="FreeSerif" w:hAnsi="FreeSerif" w:eastAsia="方正仿宋_GBK" w:cs="FreeSerif"/>
          <w:sz w:val="32"/>
          <w:szCs w:val="32"/>
        </w:rPr>
        <w:t>的市场经济条件下，行业龙头企业逐步主导市场并向集约化和规模化迈进是未来发展的必然趋势。</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3）行业整体运行继续保持谨慎乐观。鉴于企业运营成本增加，如人力、土地、管理等费用上升，加上危险货物道路运输车辆停车场问题将日益突出，有些企业盈利将出现低水平增长甚至亏损，部分企业因此会退出市场。</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（4）非法运输可能会侵占白城市危险货物道路运输市场。但经管理部门采取相应措施，如适时出台相关管理办法，加大执法力度，这一局面将得到一定程度的控制，未来会出现一定幅度的下降趋势。</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86" w:name="_Toc1831878855"/>
      <w:bookmarkStart w:id="87" w:name="_Toc71998618"/>
      <w:r>
        <w:rPr>
          <w:rFonts w:hint="default" w:ascii="FreeSerif" w:hAnsi="FreeSerif" w:eastAsia="方正楷体_GBK" w:cs="FreeSerif"/>
          <w:sz w:val="32"/>
          <w:szCs w:val="32"/>
        </w:rPr>
        <w:t>3.5 对策建议</w:t>
      </w:r>
      <w:bookmarkEnd w:id="86"/>
      <w:bookmarkEnd w:id="87"/>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针对白城市危险货物道路运输市场分析结果，提出“疏、堵、管、治”的对策措施，以促进危险货物道路运输行业总体运行平稳、安全、有序。具体如下：</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疏”：鉴于白城市危险货物道路运输市场供给需求实际，建议严格按照相关法律法规，根据不同经营类别的市场运力需求量，合理配置运力资源，保障危险货物道路运输市场运力供给，满足危险货物道路运输需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“堵”：加大危险货物道路运输市场非法运输行为打击力度，运用法律和行政手段对此类违法行为进行整治，堵住漏洞，以减少和消除白城市危险货物道路运输市场的安全隐患，降低影响公共安全的系统性风险。</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管”：依据《道路危险货物运输管理规定》第五十一条、五十三条之规定，加强白城市危险货物道路运输市场异地车运输的监管，强化卫星定位监控、电子运单管理，通过信息化手段实现远程数字化监管，强化异地经营车辆的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治”：严格按照相关法律法规要求，利用市场经济与市场调节杠杆作用，充分发挥行业专家、行业协会和社会监督力量的作用，对白城市危险货物道路运输市场进行综合治理：定期评估危险货物道路运输市场供需状况，根据相关规定适时调节市场运力供给，实现白城市场运力供需</w:t>
      </w:r>
      <w:r>
        <w:rPr>
          <w:rFonts w:hint="default" w:ascii="FreeSerif" w:hAnsi="FreeSerif" w:eastAsia="方正仿宋_GBK" w:cs="FreeSerif"/>
          <w:sz w:val="32"/>
          <w:szCs w:val="32"/>
        </w:rPr>
        <w:t>平衡和管理规范有序，以达到运输需求、运力供给与管理部门等危险货物道路运输市场三大基本要素目标一致的要求，引导白城市危险货物道路运输市场健康有序发展。</w:t>
      </w:r>
      <w:bookmarkStart w:id="88" w:name="_Toc71998619"/>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p>
    <w:p>
      <w:pPr>
        <w:rPr>
          <w:rFonts w:hint="default" w:ascii="FreeSerif" w:hAnsi="FreeSerif" w:eastAsia="方正黑体_GBK" w:cs="FreeSerif"/>
          <w:b w:val="0"/>
          <w:bCs w:val="0"/>
          <w:sz w:val="32"/>
          <w:szCs w:val="32"/>
        </w:rPr>
      </w:pPr>
      <w:r>
        <w:rPr>
          <w:rFonts w:hint="default" w:ascii="FreeSerif" w:hAnsi="FreeSerif" w:eastAsia="方正黑体_GBK" w:cs="FreeSerif"/>
          <w:b w:val="0"/>
          <w:bCs w:val="0"/>
          <w:sz w:val="32"/>
          <w:szCs w:val="32"/>
        </w:rPr>
        <w:br w:type="page"/>
      </w:r>
    </w:p>
    <w:p>
      <w:pPr>
        <w:keepNext w:val="0"/>
        <w:keepLines w:val="0"/>
        <w:pageBreakBefore w:val="0"/>
        <w:widowControl w:val="0"/>
        <w:kinsoku/>
        <w:wordWrap/>
        <w:overflowPunct w:val="0"/>
        <w:topLinePunct w:val="0"/>
        <w:autoSpaceDE/>
        <w:autoSpaceDN/>
        <w:bidi w:val="0"/>
        <w:adjustRightInd/>
        <w:snapToGrid/>
        <w:spacing w:line="578" w:lineRule="exact"/>
        <w:jc w:val="center"/>
        <w:textAlignment w:val="auto"/>
        <w:outlineLvl w:val="0"/>
        <w:rPr>
          <w:rFonts w:hint="default" w:ascii="FreeSerif" w:hAnsi="FreeSerif" w:eastAsia="方正黑体_GBK" w:cs="FreeSerif"/>
          <w:b w:val="0"/>
          <w:bCs w:val="0"/>
          <w:sz w:val="32"/>
          <w:szCs w:val="32"/>
        </w:rPr>
      </w:pPr>
      <w:bookmarkStart w:id="89" w:name="_Toc737099324"/>
      <w:r>
        <w:rPr>
          <w:rFonts w:hint="default" w:ascii="FreeSerif" w:hAnsi="FreeSerif" w:eastAsia="方正黑体_GBK" w:cs="FreeSerif"/>
          <w:b w:val="0"/>
          <w:bCs w:val="0"/>
          <w:sz w:val="32"/>
          <w:szCs w:val="32"/>
        </w:rPr>
        <w:t>第</w:t>
      </w:r>
      <w:r>
        <w:rPr>
          <w:rFonts w:hint="default" w:ascii="FreeSerif" w:hAnsi="FreeSerif" w:eastAsia="方正黑体_GBK" w:cs="FreeSerif"/>
          <w:b w:val="0"/>
          <w:bCs w:val="0"/>
          <w:sz w:val="32"/>
          <w:szCs w:val="32"/>
          <w:lang w:eastAsia="zh-CN"/>
        </w:rPr>
        <w:t>四</w:t>
      </w:r>
      <w:r>
        <w:rPr>
          <w:rFonts w:hint="default" w:ascii="FreeSerif" w:hAnsi="FreeSerif" w:eastAsia="方正黑体_GBK" w:cs="FreeSerif"/>
          <w:b w:val="0"/>
          <w:bCs w:val="0"/>
          <w:sz w:val="32"/>
          <w:szCs w:val="32"/>
        </w:rPr>
        <w:t>章 危险货物道路运输发展策略</w:t>
      </w:r>
      <w:bookmarkEnd w:id="88"/>
      <w:bookmarkEnd w:id="89"/>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综合考虑白城市危险货物道路运输运力与运量增长情况，科学发展运力，避免经营者盲目发展运力，造成运输资源的浪费和恶性竞争。同时，进一步规范危险货物道路运输市场秩序，保障行业健康、安全、稳定、有序发展。</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90" w:name="_Toc71998620"/>
      <w:bookmarkStart w:id="91" w:name="_Toc1392323532"/>
      <w:r>
        <w:rPr>
          <w:rFonts w:hint="default" w:ascii="FreeSerif" w:hAnsi="FreeSerif" w:eastAsia="方正楷体_GBK" w:cs="FreeSerif"/>
          <w:sz w:val="32"/>
          <w:szCs w:val="32"/>
        </w:rPr>
        <w:t>4.1 行业发展趋势</w:t>
      </w:r>
      <w:bookmarkEnd w:id="90"/>
      <w:bookmarkEnd w:id="91"/>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近年来，白城市危险货物道路运输行业管理不断规范、发展形势持续向好，但危险货物道路运输事故依然时有发生。为深入贯彻落实党中央国务院的部署要求，切实强化危险货物道路运输安全治理，2021年以来，白城市坚守红线底线，以坚决遏制危险化学品运输安全生产事故为目标，全面提升安全发展水平，使危险货物道路运输更加安全高效。</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b w:val="0"/>
          <w:bCs w:val="0"/>
          <w:sz w:val="32"/>
          <w:szCs w:val="32"/>
        </w:rPr>
      </w:pPr>
      <w:r>
        <w:rPr>
          <w:rFonts w:hint="default" w:ascii="FreeSerif" w:hAnsi="FreeSerif" w:eastAsia="方正仿宋_GBK" w:cs="FreeSerif"/>
          <w:b w:val="0"/>
          <w:bCs w:val="0"/>
          <w:sz w:val="32"/>
          <w:szCs w:val="32"/>
          <w:lang w:val="en-US" w:eastAsia="zh-CN"/>
        </w:rPr>
        <w:t>4.1.1</w:t>
      </w:r>
      <w:r>
        <w:rPr>
          <w:rFonts w:hint="default" w:ascii="FreeSerif" w:hAnsi="FreeSerif" w:eastAsia="方正仿宋_GBK" w:cs="FreeSerif"/>
          <w:b w:val="0"/>
          <w:bCs w:val="0"/>
          <w:sz w:val="32"/>
          <w:szCs w:val="32"/>
        </w:rPr>
        <w:t>危险货物道路运输供给能力不断增强</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险货物道路运输供给能力增强主要体现在公路基础设施网络建设，危险货物道路运输经营性业户量、从业人员数和危货运输车辆数等方面。道路是危险货物道路运输的基础，发达的公路网将促进危险货物道路运输发展。近年来，白城市公路总里程、高速公路里程和公路网密度均持续增长，公路基础设施网络建设为危险货物道路运输发展提供了良好的平台。随着危险货物道路运输经营性业户量、从业人员数和危货运输车辆数等供给能力平稳增长（其中从业人员与运力规模近年增长率相对较高），运输市场经营模式也逐渐多样化，危险货物道路运输市场日趋繁荣。</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b w:val="0"/>
          <w:bCs w:val="0"/>
          <w:sz w:val="32"/>
          <w:szCs w:val="32"/>
        </w:rPr>
      </w:pPr>
      <w:r>
        <w:rPr>
          <w:rFonts w:hint="default" w:ascii="FreeSerif" w:hAnsi="FreeSerif" w:eastAsia="方正仿宋_GBK" w:cs="FreeSerif"/>
          <w:b w:val="0"/>
          <w:bCs w:val="0"/>
          <w:sz w:val="32"/>
          <w:szCs w:val="32"/>
          <w:lang w:val="en-US" w:eastAsia="zh-CN"/>
        </w:rPr>
        <w:t>4.1.2</w:t>
      </w:r>
      <w:r>
        <w:rPr>
          <w:rFonts w:hint="default" w:ascii="FreeSerif" w:hAnsi="FreeSerif" w:eastAsia="方正仿宋_GBK" w:cs="FreeSerif"/>
          <w:b w:val="0"/>
          <w:bCs w:val="0"/>
          <w:sz w:val="32"/>
          <w:szCs w:val="32"/>
        </w:rPr>
        <w:t>危险货物道路运输服务水平逐渐提高</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近些年来，白城市危险货物道路运输行业通过引进先进技术，提高了危货运输车辆标准化、安全性、智能化程度和危险货物道路运输组织水平。</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货运输车辆标准化是危险货物道路运输安全、开展多式联运和国际运输的基础。2012年交通运输部出台的《道路危险货物运输管理规定》对危货运输车辆提出要符合国家和行业标准的要求，并将此作为危货运输车辆的许可条件。2019年颁布的《危险货物道路运输安全管理办法》，则推动了危货运输车辆和罐式车辆罐体的标准化工作。</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《道路危险货物运输管理规定》在上位法设定的许可范围内，提出了危货运输车辆的安全性能要求，将车辆技术等级达到行业标准《道路运输车辆技术等级划分和评定要求》</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JTT 198</w:t>
      </w:r>
      <w:r>
        <w:rPr>
          <w:rFonts w:hint="eastAsia" w:ascii="FreeSerif" w:hAnsi="FreeSerif" w:eastAsia="方正仿宋_GBK" w:cs="FreeSerif"/>
          <w:sz w:val="32"/>
          <w:szCs w:val="32"/>
          <w:lang w:eastAsia="zh-CN"/>
        </w:rPr>
        <w:t>—</w:t>
      </w:r>
      <w:r>
        <w:rPr>
          <w:rFonts w:hint="eastAsia" w:ascii="FreeSerif" w:hAnsi="FreeSerif" w:eastAsia="方正仿宋_GBK" w:cs="FreeSerif"/>
          <w:sz w:val="32"/>
          <w:szCs w:val="32"/>
          <w:lang w:val="en-US" w:eastAsia="zh-CN"/>
        </w:rPr>
        <w:t>2016</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规定的一级技术等级，作为危货运输车辆许可的具体规定。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b w:val="0"/>
          <w:bCs w:val="0"/>
          <w:sz w:val="32"/>
          <w:szCs w:val="32"/>
        </w:rPr>
      </w:pPr>
      <w:r>
        <w:rPr>
          <w:rFonts w:hint="default" w:ascii="FreeSerif" w:hAnsi="FreeSerif" w:eastAsia="方正仿宋_GBK" w:cs="FreeSerif"/>
          <w:b w:val="0"/>
          <w:bCs w:val="0"/>
          <w:sz w:val="32"/>
          <w:szCs w:val="32"/>
          <w:lang w:val="en-US" w:eastAsia="zh-CN"/>
        </w:rPr>
        <w:t>4.1.3</w:t>
      </w:r>
      <w:r>
        <w:rPr>
          <w:rFonts w:hint="default" w:ascii="FreeSerif" w:hAnsi="FreeSerif" w:eastAsia="方正仿宋_GBK" w:cs="FreeSerif"/>
          <w:b w:val="0"/>
          <w:bCs w:val="0"/>
          <w:sz w:val="32"/>
          <w:szCs w:val="32"/>
        </w:rPr>
        <w:t>危险货物道路运输市场更加开放</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随着道路运输市场的逐渐开放</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大量社会运力投入到危险货物道路运输行业。尤其是小型私营企业运输车辆的大量进入，促进了多层次、多部门、多种经济成</w:t>
      </w:r>
      <w:r>
        <w:rPr>
          <w:rFonts w:hint="default" w:ascii="FreeSerif" w:hAnsi="FreeSerif" w:eastAsia="方正仿宋_GBK" w:cs="FreeSerif"/>
          <w:sz w:val="32"/>
          <w:szCs w:val="32"/>
          <w:lang w:val="en"/>
        </w:rPr>
        <w:t>分</w:t>
      </w:r>
      <w:r>
        <w:rPr>
          <w:rFonts w:hint="default" w:ascii="FreeSerif" w:hAnsi="FreeSerif" w:eastAsia="方正仿宋_GBK" w:cs="FreeSerif"/>
          <w:sz w:val="32"/>
          <w:szCs w:val="32"/>
        </w:rPr>
        <w:t>的危险货物道路运输结构的形成。同时危险货物道路运输市场存在的很多问题接踵而至，如专业化程度、组织集约化程度、从业人员素质均不够高等。</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b w:val="0"/>
          <w:bCs w:val="0"/>
          <w:sz w:val="32"/>
          <w:szCs w:val="32"/>
        </w:rPr>
      </w:pPr>
      <w:r>
        <w:rPr>
          <w:rFonts w:hint="default" w:ascii="FreeSerif" w:hAnsi="FreeSerif" w:eastAsia="方正仿宋_GBK" w:cs="FreeSerif"/>
          <w:b w:val="0"/>
          <w:bCs w:val="0"/>
          <w:sz w:val="32"/>
          <w:szCs w:val="32"/>
          <w:lang w:val="en-US" w:eastAsia="zh-CN"/>
        </w:rPr>
        <w:t>4.1.4</w:t>
      </w:r>
      <w:r>
        <w:rPr>
          <w:rFonts w:hint="default" w:ascii="FreeSerif" w:hAnsi="FreeSerif" w:eastAsia="方正仿宋_GBK" w:cs="FreeSerif"/>
          <w:b w:val="0"/>
          <w:bCs w:val="0"/>
          <w:sz w:val="32"/>
          <w:szCs w:val="32"/>
        </w:rPr>
        <w:t>安全管理体系建设科学化水平不断提高</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加强危险货物道路运输安全管理是白城市交通运输部门的主要任务，相关法规和标准是开展危险货物道路运输安全生产和进行危险货物道路运输监管执法的准则。目前危险货物道路运输不仅有单独成文的标准，而且有关危险货物、包装和容器、车辆、运输操作等危险货物道路运输各方面相关标准都已建立。</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92" w:name="_Toc2031359132"/>
      <w:bookmarkStart w:id="93" w:name="_Toc71998621"/>
      <w:r>
        <w:rPr>
          <w:rFonts w:hint="default" w:ascii="FreeSerif" w:hAnsi="FreeSerif" w:eastAsia="方正楷体_GBK" w:cs="FreeSerif"/>
          <w:sz w:val="32"/>
          <w:szCs w:val="32"/>
        </w:rPr>
        <w:t>4.2 危险货物道路运输运力调控策略</w:t>
      </w:r>
      <w:bookmarkEnd w:id="92"/>
      <w:bookmarkEnd w:id="9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白城市危险货物道路运输运力调控应主要结合目前白城市危险货物道路运输运力及市场需求情况，拟定年度危险货物道路运输运力总量控制数，以及各类危险货物运力规模限值。</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94" w:name="_Toc71998622"/>
      <w:bookmarkStart w:id="95" w:name="_Toc86007962"/>
      <w:bookmarkStart w:id="96" w:name="_Toc86007825"/>
      <w:bookmarkStart w:id="97" w:name="_Toc85706141"/>
      <w:r>
        <w:rPr>
          <w:rFonts w:hint="default" w:ascii="FreeSerif" w:hAnsi="FreeSerif" w:eastAsia="方正仿宋_GBK" w:cs="FreeSerif"/>
          <w:sz w:val="32"/>
          <w:szCs w:val="32"/>
        </w:rPr>
        <w:t>4.2.1运力要求</w:t>
      </w:r>
      <w:bookmarkEnd w:id="94"/>
      <w:bookmarkEnd w:id="95"/>
      <w:bookmarkEnd w:id="96"/>
      <w:bookmarkEnd w:id="97"/>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险货物道路运输车辆不同于一般道路运输车辆，在安全性能和车货匹配方面有更高的要求。《道路危险货物运输管理规定》在上位法设定的许可范围内，提出了危险货物道路运输车辆的安全性能要求，将车辆技术性能达到行业标准《道路运输车辆技术等级划分和评定要求》</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JTT198</w:t>
      </w:r>
      <w:r>
        <w:rPr>
          <w:rFonts w:hint="eastAsia" w:ascii="FreeSerif" w:hAnsi="FreeSerif" w:eastAsia="方正仿宋_GBK" w:cs="FreeSerif"/>
          <w:sz w:val="32"/>
          <w:szCs w:val="32"/>
          <w:lang w:eastAsia="zh-CN"/>
        </w:rPr>
        <w:t>—</w:t>
      </w:r>
      <w:r>
        <w:rPr>
          <w:rFonts w:hint="eastAsia" w:ascii="FreeSerif" w:hAnsi="FreeSerif" w:eastAsia="方正仿宋_GBK" w:cs="FreeSerif"/>
          <w:sz w:val="32"/>
          <w:szCs w:val="32"/>
          <w:lang w:val="en-US" w:eastAsia="zh-CN"/>
        </w:rPr>
        <w:t>2016</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规定的一级技术等级，作为危险货物道路运输车辆许可的具体规定。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1</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经营性企业</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根据前述企业运力规模及危险货物道路运输市场供需分析，目前白城市经营性危险货物道路运输运力规模能够满足运输市场需求，但部分车辆已无法满足危险货物道路运输对于技术等级的要求。随着使用年限的增加，目前达到一级技术等级要求的部分车辆，</w:t>
      </w:r>
      <w:bookmarkStart w:id="98" w:name="_Hlk78215836"/>
      <w:r>
        <w:rPr>
          <w:rFonts w:hint="default" w:ascii="FreeSerif" w:hAnsi="FreeSerif" w:eastAsia="方正仿宋_GBK" w:cs="FreeSerif"/>
          <w:sz w:val="32"/>
          <w:szCs w:val="32"/>
        </w:rPr>
        <w:t>在未来几年也将面临技术等级降低而不得不退出危险货物道路运输市场</w:t>
      </w:r>
      <w:bookmarkEnd w:id="98"/>
      <w:r>
        <w:rPr>
          <w:rFonts w:hint="default" w:ascii="FreeSerif" w:hAnsi="FreeSerif" w:eastAsia="方正仿宋_GBK" w:cs="FreeSerif"/>
          <w:sz w:val="32"/>
          <w:szCs w:val="32"/>
        </w:rPr>
        <w:t>的情况。</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2</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非经营性企业</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根据《危险货物道路运输管理规定》第九条中的相关规定，属于省级以上安全生产监督管理部门批准设立的生产、使用、储存危险化学品的企业或有特殊需求的科研、军工等企事业单位，可以使用自备危险货物道路运输车辆从事为本单位服务的非经营性危险货物道路运输。或具备第八条规定的条件，但自有专用车辆（挂车除外）的数量可以少于5辆。因此，白城市非经营性道路危险货物运输企业准入要求及运力规模可参照上述规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99" w:name="_Toc85706142"/>
      <w:bookmarkStart w:id="100" w:name="_Toc86007963"/>
      <w:bookmarkStart w:id="101" w:name="_Toc71998623"/>
      <w:bookmarkStart w:id="102" w:name="_Toc86007826"/>
      <w:r>
        <w:rPr>
          <w:rFonts w:hint="default" w:ascii="FreeSerif" w:hAnsi="FreeSerif" w:eastAsia="方正仿宋_GBK" w:cs="FreeSerif"/>
          <w:sz w:val="32"/>
          <w:szCs w:val="32"/>
        </w:rPr>
        <w:t>4.2.2运力投放方案</w:t>
      </w:r>
      <w:bookmarkEnd w:id="99"/>
      <w:bookmarkEnd w:id="100"/>
      <w:bookmarkEnd w:id="101"/>
      <w:bookmarkEnd w:id="10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对于有货运合同到期、车辆损毁灭失、车辆到报废年限、车辆转出等情况，企业要及时调整运力、依法该报停的报停、依法该退出市场的必须退出。白城市交通运输局将根据各企业运力投放使用情况及市场需求变化，动态调整各类危险货物道路运输运力投入指标。</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lang w:val="en"/>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1</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目前白城市危险货物道路运输运力情况</w:t>
      </w:r>
      <w:r>
        <w:rPr>
          <w:rFonts w:hint="default" w:ascii="FreeSerif" w:hAnsi="FreeSerif" w:eastAsia="方正仿宋_GBK" w:cs="FreeSerif"/>
          <w:sz w:val="32"/>
          <w:szCs w:val="32"/>
          <w:lang w:val="en"/>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白城市正常在营危险货物道路运输车辆共计95辆。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根据调查，白城市各类危险货物道路运输车辆数见表4</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1。</w:t>
      </w:r>
    </w:p>
    <w:p>
      <w:pPr>
        <w:ind w:firstLine="420" w:firstLineChars="200"/>
        <w:jc w:val="center"/>
        <w:rPr>
          <w:rFonts w:hint="default" w:ascii="FreeSerif" w:hAnsi="FreeSerif" w:eastAsia="方正黑体_GBK" w:cs="FreeSerif"/>
          <w:szCs w:val="21"/>
        </w:rPr>
      </w:pPr>
    </w:p>
    <w:p>
      <w:pPr>
        <w:ind w:firstLine="480" w:firstLineChars="200"/>
        <w:jc w:val="center"/>
        <w:rPr>
          <w:rFonts w:hint="default" w:ascii="FreeSerif" w:hAnsi="FreeSerif" w:eastAsia="方正黑体_GBK" w:cs="FreeSerif"/>
          <w:sz w:val="24"/>
          <w:szCs w:val="24"/>
        </w:rPr>
      </w:pPr>
      <w:r>
        <w:rPr>
          <w:rFonts w:hint="default" w:ascii="FreeSerif" w:hAnsi="FreeSerif" w:eastAsia="方正黑体_GBK" w:cs="FreeSerif"/>
          <w:sz w:val="24"/>
          <w:szCs w:val="24"/>
        </w:rPr>
        <w:t>表4</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1  各类别危险货物道路运输车辆</w:t>
      </w:r>
    </w:p>
    <w:tbl>
      <w:tblPr>
        <w:tblStyle w:val="16"/>
        <w:tblW w:w="6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9"/>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仿宋_GB2312" w:cs="FreeSerif"/>
                <w:b/>
                <w:szCs w:val="21"/>
              </w:rPr>
            </w:pPr>
            <w:r>
              <w:rPr>
                <w:rFonts w:hint="default" w:ascii="FreeSerif" w:hAnsi="FreeSerif" w:eastAsia="仿宋_GB2312" w:cs="FreeSerif"/>
                <w:b/>
                <w:szCs w:val="21"/>
              </w:rPr>
              <w:t>类别</w:t>
            </w:r>
          </w:p>
        </w:tc>
        <w:tc>
          <w:tcPr>
            <w:tcW w:w="2436" w:type="dxa"/>
            <w:shd w:val="clear" w:color="auto" w:fill="auto"/>
            <w:vAlign w:val="center"/>
          </w:tcPr>
          <w:p>
            <w:pPr>
              <w:jc w:val="center"/>
              <w:rPr>
                <w:rFonts w:hint="default" w:ascii="FreeSerif" w:hAnsi="FreeSerif" w:eastAsia="仿宋_GB2312" w:cs="FreeSerif"/>
                <w:b/>
                <w:szCs w:val="21"/>
              </w:rPr>
            </w:pPr>
            <w:r>
              <w:rPr>
                <w:rFonts w:hint="default" w:ascii="FreeSerif" w:hAnsi="FreeSerif" w:eastAsia="仿宋_GB2312" w:cs="FreeSerif"/>
                <w:b/>
                <w:color w:val="000000"/>
                <w:szCs w:val="21"/>
              </w:rPr>
              <w:t>车辆数</w:t>
            </w:r>
            <w:r>
              <w:rPr>
                <w:rFonts w:hint="default" w:ascii="FreeSerif" w:hAnsi="FreeSerif" w:eastAsia="仿宋_GB2312" w:cs="FreeSerif"/>
                <w:b/>
                <w:color w:val="000000"/>
                <w:sz w:val="20"/>
                <w:szCs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099" w:type="dxa"/>
            <w:noWrap/>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1类（爆炸品）</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099" w:type="dxa"/>
            <w:noWrap/>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2类（压缩气体，石油气、天然气、氧气等）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3类（易燃液体，汽油、柴油、乙醇等）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099" w:type="dxa"/>
            <w:noWrap/>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4类（易燃固体，硫磺等）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vAlign w:val="center"/>
          </w:tcPr>
          <w:p>
            <w:pPr>
              <w:widowControl/>
              <w:jc w:val="center"/>
              <w:rPr>
                <w:rFonts w:hint="default" w:ascii="FreeSerif" w:hAnsi="FreeSerif" w:eastAsia="方正仿宋_GBK" w:cs="FreeSerif"/>
                <w:sz w:val="18"/>
                <w:szCs w:val="18"/>
              </w:rPr>
            </w:pPr>
            <w:r>
              <w:rPr>
                <w:rFonts w:hint="default" w:ascii="FreeSerif" w:hAnsi="FreeSerif" w:eastAsia="方正仿宋_GBK" w:cs="FreeSerif"/>
                <w:sz w:val="18"/>
                <w:szCs w:val="18"/>
              </w:rPr>
              <w:t>5类（氧化物，双氧水等）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6类（感染性物品等）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7类（放射性物质）</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8类（腐蚀品，盐酸、烧碱等）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9类（其他危险品，危险废物、固体废物等）</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099" w:type="dxa"/>
            <w:noWrap/>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合    计</w:t>
            </w:r>
          </w:p>
        </w:tc>
        <w:tc>
          <w:tcPr>
            <w:tcW w:w="2436"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95</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lang w:val="en"/>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2</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运力投放规划</w:t>
      </w:r>
      <w:r>
        <w:rPr>
          <w:rFonts w:hint="default" w:ascii="FreeSerif" w:hAnsi="FreeSerif" w:eastAsia="方正仿宋_GBK" w:cs="FreeSerif"/>
          <w:sz w:val="32"/>
          <w:szCs w:val="32"/>
          <w:lang w:val="en"/>
        </w:rPr>
        <w:t>。</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结合白城市现有危险货物道路运输车辆类别及未来几年行业需求情况，对各类危险货物道路运输运力进行适当调整，得出各年度各类危险货物道路运输车辆限值。详见表4</w:t>
      </w:r>
      <w:r>
        <w:rPr>
          <w:rFonts w:hint="default" w:ascii="FreeSerif" w:hAnsi="FreeSerif" w:eastAsia="方正仿宋_GBK" w:cs="FreeSerif"/>
          <w:sz w:val="32"/>
          <w:szCs w:val="32"/>
          <w:lang w:val="en-US"/>
        </w:rPr>
        <w:t>－</w:t>
      </w:r>
      <w:r>
        <w:rPr>
          <w:rFonts w:hint="default" w:ascii="FreeSerif" w:hAnsi="FreeSerif" w:eastAsia="方正仿宋_GBK" w:cs="FreeSerif"/>
          <w:sz w:val="32"/>
          <w:szCs w:val="32"/>
        </w:rPr>
        <w:t>2。</w:t>
      </w:r>
    </w:p>
    <w:p>
      <w:pPr>
        <w:jc w:val="center"/>
        <w:rPr>
          <w:rFonts w:hint="default" w:ascii="FreeSerif" w:hAnsi="FreeSerif" w:eastAsia="方正黑体_GBK" w:cs="FreeSerif"/>
          <w:color w:val="000000" w:themeColor="text1"/>
          <w:sz w:val="24"/>
          <w:szCs w:val="24"/>
          <w14:textFill>
            <w14:solidFill>
              <w14:schemeClr w14:val="tx1"/>
            </w14:solidFill>
          </w14:textFill>
        </w:rPr>
      </w:pPr>
      <w:r>
        <w:rPr>
          <w:rFonts w:hint="default" w:ascii="FreeSerif" w:hAnsi="FreeSerif" w:eastAsia="方正黑体_GBK" w:cs="FreeSerif"/>
          <w:sz w:val="24"/>
          <w:szCs w:val="24"/>
        </w:rPr>
        <w:t>表4</w:t>
      </w:r>
      <w:r>
        <w:rPr>
          <w:rFonts w:hint="default" w:ascii="FreeSerif" w:hAnsi="FreeSerif" w:eastAsia="方正黑体_GBK" w:cs="FreeSerif"/>
          <w:sz w:val="24"/>
          <w:szCs w:val="24"/>
          <w:lang w:val="en-US"/>
        </w:rPr>
        <w:t>－</w:t>
      </w:r>
      <w:r>
        <w:rPr>
          <w:rFonts w:hint="default" w:ascii="FreeSerif" w:hAnsi="FreeSerif" w:eastAsia="方正黑体_GBK" w:cs="FreeSerif"/>
          <w:sz w:val="24"/>
          <w:szCs w:val="24"/>
        </w:rPr>
        <w:t>2  白城市各类</w:t>
      </w:r>
      <w:r>
        <w:rPr>
          <w:rFonts w:hint="default" w:ascii="FreeSerif" w:hAnsi="FreeSerif" w:eastAsia="方正黑体_GBK" w:cs="FreeSerif"/>
          <w:color w:val="000000" w:themeColor="text1"/>
          <w:sz w:val="24"/>
          <w:szCs w:val="24"/>
          <w14:textFill>
            <w14:solidFill>
              <w14:schemeClr w14:val="tx1"/>
            </w14:solidFill>
          </w14:textFill>
        </w:rPr>
        <w:t>别危险货物道路运输车辆投放规划结果</w:t>
      </w:r>
    </w:p>
    <w:tbl>
      <w:tblPr>
        <w:tblStyle w:val="16"/>
        <w:tblW w:w="8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5"/>
        <w:gridCol w:w="891"/>
        <w:gridCol w:w="770"/>
        <w:gridCol w:w="850"/>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vMerge w:val="restart"/>
            <w:noWrap/>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类别</w:t>
            </w:r>
          </w:p>
        </w:tc>
        <w:tc>
          <w:tcPr>
            <w:tcW w:w="891" w:type="dxa"/>
            <w:vMerge w:val="restart"/>
            <w:shd w:val="clear" w:color="auto" w:fill="auto"/>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在营车辆数</w:t>
            </w:r>
            <w:r>
              <w:rPr>
                <w:rFonts w:hint="default" w:ascii="FreeSerif" w:hAnsi="FreeSerif" w:eastAsia="方正黑体_GBK" w:cs="FreeSerif"/>
                <w:b w:val="0"/>
                <w:bCs/>
                <w:color w:val="000000" w:themeColor="text1"/>
                <w:sz w:val="20"/>
                <w:szCs w:val="21"/>
                <w14:textFill>
                  <w14:solidFill>
                    <w14:schemeClr w14:val="tx1"/>
                  </w14:solidFill>
                </w14:textFill>
              </w:rPr>
              <w:t>（辆）</w:t>
            </w:r>
          </w:p>
        </w:tc>
        <w:tc>
          <w:tcPr>
            <w:tcW w:w="4173" w:type="dxa"/>
            <w:gridSpan w:val="5"/>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上限值（辆）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vMerge w:val="continue"/>
            <w:noWrap/>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p>
        </w:tc>
        <w:tc>
          <w:tcPr>
            <w:tcW w:w="891" w:type="dxa"/>
            <w:vMerge w:val="continue"/>
            <w:shd w:val="clear" w:color="auto" w:fill="auto"/>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p>
        </w:tc>
        <w:tc>
          <w:tcPr>
            <w:tcW w:w="770" w:type="dxa"/>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2022</w:t>
            </w:r>
          </w:p>
        </w:tc>
        <w:tc>
          <w:tcPr>
            <w:tcW w:w="850" w:type="dxa"/>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2024年</w:t>
            </w:r>
          </w:p>
        </w:tc>
        <w:tc>
          <w:tcPr>
            <w:tcW w:w="851" w:type="dxa"/>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2026年</w:t>
            </w:r>
          </w:p>
        </w:tc>
        <w:tc>
          <w:tcPr>
            <w:tcW w:w="851" w:type="dxa"/>
            <w:tcMar>
              <w:left w:w="0" w:type="dxa"/>
              <w:right w:w="0" w:type="dxa"/>
            </w:tcMar>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2028年</w:t>
            </w:r>
          </w:p>
        </w:tc>
        <w:tc>
          <w:tcPr>
            <w:tcW w:w="851" w:type="dxa"/>
            <w:vAlign w:val="center"/>
          </w:tcPr>
          <w:p>
            <w:pPr>
              <w:jc w:val="center"/>
              <w:rPr>
                <w:rFonts w:hint="default" w:ascii="FreeSerif" w:hAnsi="FreeSerif" w:eastAsia="方正黑体_GBK" w:cs="FreeSerif"/>
                <w:b w:val="0"/>
                <w:bCs/>
                <w:color w:val="000000" w:themeColor="text1"/>
                <w:szCs w:val="21"/>
                <w14:textFill>
                  <w14:solidFill>
                    <w14:schemeClr w14:val="tx1"/>
                  </w14:solidFill>
                </w14:textFill>
              </w:rPr>
            </w:pPr>
            <w:r>
              <w:rPr>
                <w:rFonts w:hint="default" w:ascii="FreeSerif" w:hAnsi="FreeSerif" w:eastAsia="方正黑体_GBK" w:cs="FreeSerif"/>
                <w:b w:val="0"/>
                <w:bCs/>
                <w:color w:val="000000" w:themeColor="text1"/>
                <w:szCs w:val="21"/>
                <w14:textFill>
                  <w14:solidFill>
                    <w14:schemeClr w14:val="tx1"/>
                  </w14:solidFill>
                </w14:textFill>
              </w:rP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爆炸品</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2</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2类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压缩气体，天然气等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64</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80</w:t>
            </w:r>
          </w:p>
        </w:tc>
        <w:tc>
          <w:tcPr>
            <w:tcW w:w="850"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129</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164</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204</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其中大安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c>
          <w:tcPr>
            <w:tcW w:w="850"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5</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5</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5</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易燃液体，汽油、柴油等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40</w:t>
            </w:r>
          </w:p>
        </w:tc>
        <w:tc>
          <w:tcPr>
            <w:tcW w:w="850"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107</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168</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226</w:t>
            </w:r>
          </w:p>
        </w:tc>
        <w:tc>
          <w:tcPr>
            <w:tcW w:w="851" w:type="dxa"/>
            <w:vAlign w:val="center"/>
          </w:tcPr>
          <w:p>
            <w:pPr>
              <w:jc w:val="center"/>
              <w:rPr>
                <w:rFonts w:hint="default" w:ascii="FreeSerif" w:hAnsi="FreeSerif" w:eastAsia="方正仿宋_GBK" w:cs="FreeSerif"/>
                <w:sz w:val="18"/>
                <w:szCs w:val="18"/>
              </w:rPr>
            </w:pPr>
            <w:r>
              <w:rPr>
                <w:rFonts w:hint="default" w:ascii="FreeSerif" w:hAnsi="FreeSerif" w:eastAsia="方正仿宋_GBK" w:cs="FreeSerif"/>
                <w:sz w:val="18"/>
                <w:szCs w:val="18"/>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其中大安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25</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45</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65</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易燃固体，硫磺等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vAlign w:val="center"/>
          </w:tcPr>
          <w:p>
            <w:pPr>
              <w:keepNext w:val="0"/>
              <w:keepLines w:val="0"/>
              <w:pageBreakBefore w:val="0"/>
              <w:widowControl/>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氧化物，双氧水等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感染性物品等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2</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7</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12</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7类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放射性物质</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8类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腐蚀品，盐酸、烧碱等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0</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9类</w:t>
            </w:r>
            <w:r>
              <w:rPr>
                <w:rFonts w:hint="default" w:ascii="FreeSerif" w:hAnsi="FreeSerif" w:eastAsia="方正仿宋_GBK" w:cs="FreeSerif"/>
                <w:color w:val="000000" w:themeColor="text1"/>
                <w:sz w:val="18"/>
                <w:szCs w:val="18"/>
                <w:lang w:val="en-US" w:eastAsia="zh-CN"/>
                <w14:textFill>
                  <w14:solidFill>
                    <w14:schemeClr w14:val="tx1"/>
                  </w14:solidFill>
                </w14:textFill>
              </w:rPr>
              <w:t xml:space="preserve"> </w:t>
            </w:r>
            <w:r>
              <w:rPr>
                <w:rFonts w:hint="default" w:ascii="FreeSerif" w:hAnsi="FreeSerif" w:eastAsia="方正仿宋_GBK" w:cs="FreeSerif"/>
                <w:color w:val="000000" w:themeColor="text1"/>
                <w:sz w:val="18"/>
                <w:szCs w:val="18"/>
                <w14:textFill>
                  <w14:solidFill>
                    <w14:schemeClr w14:val="tx1"/>
                  </w14:solidFill>
                </w14:textFill>
              </w:rPr>
              <w:t>其他危险品，含危险废物</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2</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widowControl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其中大安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2</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4</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widowControl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合    计</w:t>
            </w:r>
          </w:p>
        </w:tc>
        <w:tc>
          <w:tcPr>
            <w:tcW w:w="891" w:type="dxa"/>
            <w:shd w:val="clear" w:color="auto" w:fill="auto"/>
            <w:vAlign w:val="center"/>
          </w:tcPr>
          <w:p>
            <w:pPr>
              <w:jc w:val="center"/>
              <w:rPr>
                <w:rFonts w:hint="default" w:ascii="FreeSerif" w:hAnsi="FreeSerif" w:eastAsia="方正仿宋_GBK" w:cs="FreeSerif"/>
                <w:bCs/>
                <w:color w:val="000000" w:themeColor="text1"/>
                <w:sz w:val="18"/>
                <w:szCs w:val="18"/>
                <w14:textFill>
                  <w14:solidFill>
                    <w14:schemeClr w14:val="tx1"/>
                  </w14:solidFill>
                </w14:textFill>
              </w:rPr>
            </w:pPr>
            <w:r>
              <w:rPr>
                <w:rFonts w:hint="default" w:ascii="FreeSerif" w:hAnsi="FreeSerif" w:eastAsia="方正仿宋_GBK" w:cs="FreeSerif"/>
                <w:bCs/>
                <w:color w:val="000000" w:themeColor="text1"/>
                <w:sz w:val="18"/>
                <w:szCs w:val="18"/>
                <w14:textFill>
                  <w14:solidFill>
                    <w14:schemeClr w14:val="tx1"/>
                  </w14:solidFill>
                </w14:textFill>
              </w:rPr>
              <w:t>95</w:t>
            </w:r>
          </w:p>
        </w:tc>
        <w:tc>
          <w:tcPr>
            <w:tcW w:w="770" w:type="dxa"/>
            <w:vAlign w:val="center"/>
          </w:tcPr>
          <w:p>
            <w:pPr>
              <w:jc w:val="center"/>
              <w:rPr>
                <w:rFonts w:hint="default" w:ascii="FreeSerif" w:hAnsi="FreeSerif" w:eastAsia="方正仿宋_GBK" w:cs="FreeSerif"/>
                <w:bCs/>
                <w:color w:val="000000" w:themeColor="text1"/>
                <w:sz w:val="18"/>
                <w:szCs w:val="18"/>
                <w14:textFill>
                  <w14:solidFill>
                    <w14:schemeClr w14:val="tx1"/>
                  </w14:solidFill>
                </w14:textFill>
              </w:rPr>
            </w:pPr>
            <w:r>
              <w:rPr>
                <w:rFonts w:hint="default" w:ascii="FreeSerif" w:hAnsi="FreeSerif" w:eastAsia="方正仿宋_GBK" w:cs="FreeSerif"/>
                <w:bCs/>
                <w:color w:val="000000" w:themeColor="text1"/>
                <w:sz w:val="18"/>
                <w:szCs w:val="18"/>
                <w14:textFill>
                  <w14:solidFill>
                    <w14:schemeClr w14:val="tx1"/>
                  </w14:solidFill>
                </w14:textFill>
              </w:rPr>
              <w:t>129</w:t>
            </w:r>
          </w:p>
        </w:tc>
        <w:tc>
          <w:tcPr>
            <w:tcW w:w="850" w:type="dxa"/>
            <w:vAlign w:val="center"/>
          </w:tcPr>
          <w:p>
            <w:pPr>
              <w:jc w:val="center"/>
              <w:rPr>
                <w:rFonts w:hint="default" w:ascii="FreeSerif" w:hAnsi="FreeSerif" w:eastAsia="方正仿宋_GBK" w:cs="FreeSerif"/>
                <w:bCs/>
                <w:color w:val="000000" w:themeColor="text1"/>
                <w:sz w:val="18"/>
                <w:szCs w:val="18"/>
                <w14:textFill>
                  <w14:solidFill>
                    <w14:schemeClr w14:val="tx1"/>
                  </w14:solidFill>
                </w14:textFill>
              </w:rPr>
            </w:pPr>
            <w:r>
              <w:rPr>
                <w:rFonts w:hint="default" w:ascii="FreeSerif" w:hAnsi="FreeSerif" w:eastAsia="方正仿宋_GBK" w:cs="FreeSerif"/>
                <w:bCs/>
                <w:color w:val="000000" w:themeColor="text1"/>
                <w:sz w:val="18"/>
                <w:szCs w:val="18"/>
                <w14:textFill>
                  <w14:solidFill>
                    <w14:schemeClr w14:val="tx1"/>
                  </w14:solidFill>
                </w14:textFill>
              </w:rPr>
              <w:t>252</w:t>
            </w:r>
          </w:p>
        </w:tc>
        <w:tc>
          <w:tcPr>
            <w:tcW w:w="851" w:type="dxa"/>
            <w:vAlign w:val="center"/>
          </w:tcPr>
          <w:p>
            <w:pPr>
              <w:jc w:val="center"/>
              <w:rPr>
                <w:rFonts w:hint="default" w:ascii="FreeSerif" w:hAnsi="FreeSerif" w:eastAsia="方正仿宋_GBK" w:cs="FreeSerif"/>
                <w:bCs/>
                <w:color w:val="000000" w:themeColor="text1"/>
                <w:sz w:val="18"/>
                <w:szCs w:val="18"/>
                <w14:textFill>
                  <w14:solidFill>
                    <w14:schemeClr w14:val="tx1"/>
                  </w14:solidFill>
                </w14:textFill>
              </w:rPr>
            </w:pPr>
            <w:r>
              <w:rPr>
                <w:rFonts w:hint="default" w:ascii="FreeSerif" w:hAnsi="FreeSerif" w:eastAsia="方正仿宋_GBK" w:cs="FreeSerif"/>
                <w:bCs/>
                <w:color w:val="000000" w:themeColor="text1"/>
                <w:sz w:val="18"/>
                <w:szCs w:val="18"/>
                <w14:textFill>
                  <w14:solidFill>
                    <w14:schemeClr w14:val="tx1"/>
                  </w14:solidFill>
                </w14:textFill>
              </w:rPr>
              <w:t>354</w:t>
            </w:r>
          </w:p>
        </w:tc>
        <w:tc>
          <w:tcPr>
            <w:tcW w:w="851" w:type="dxa"/>
            <w:vAlign w:val="center"/>
          </w:tcPr>
          <w:p>
            <w:pPr>
              <w:jc w:val="center"/>
              <w:rPr>
                <w:rFonts w:hint="default" w:ascii="FreeSerif" w:hAnsi="FreeSerif" w:eastAsia="方正仿宋_GBK" w:cs="FreeSerif"/>
                <w:bCs/>
                <w:color w:val="000000" w:themeColor="text1"/>
                <w:sz w:val="18"/>
                <w:szCs w:val="18"/>
                <w14:textFill>
                  <w14:solidFill>
                    <w14:schemeClr w14:val="tx1"/>
                  </w14:solidFill>
                </w14:textFill>
              </w:rPr>
            </w:pPr>
            <w:r>
              <w:rPr>
                <w:rFonts w:hint="default" w:ascii="FreeSerif" w:hAnsi="FreeSerif" w:eastAsia="方正仿宋_GBK" w:cs="FreeSerif"/>
                <w:bCs/>
                <w:color w:val="000000" w:themeColor="text1"/>
                <w:sz w:val="18"/>
                <w:szCs w:val="18"/>
                <w14:textFill>
                  <w14:solidFill>
                    <w14:schemeClr w14:val="tx1"/>
                  </w14:solidFill>
                </w14:textFill>
              </w:rPr>
              <w:t>456</w:t>
            </w:r>
          </w:p>
        </w:tc>
        <w:tc>
          <w:tcPr>
            <w:tcW w:w="851" w:type="dxa"/>
            <w:vAlign w:val="center"/>
          </w:tcPr>
          <w:p>
            <w:pPr>
              <w:jc w:val="center"/>
              <w:rPr>
                <w:rFonts w:hint="default" w:ascii="FreeSerif" w:hAnsi="FreeSerif" w:eastAsia="方正仿宋_GBK" w:cs="FreeSerif"/>
                <w:bCs/>
                <w:color w:val="000000" w:themeColor="text1"/>
                <w:sz w:val="18"/>
                <w:szCs w:val="18"/>
                <w14:textFill>
                  <w14:solidFill>
                    <w14:schemeClr w14:val="tx1"/>
                  </w14:solidFill>
                </w14:textFill>
              </w:rPr>
            </w:pPr>
            <w:r>
              <w:rPr>
                <w:rFonts w:hint="default" w:ascii="FreeSerif" w:hAnsi="FreeSerif" w:eastAsia="方正仿宋_GBK" w:cs="FreeSerif"/>
                <w:bCs/>
                <w:color w:val="000000" w:themeColor="text1"/>
                <w:sz w:val="18"/>
                <w:szCs w:val="18"/>
                <w14:textFill>
                  <w14:solidFill>
                    <w14:schemeClr w14:val="tx1"/>
                  </w14:solidFill>
                </w14:textFill>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3025" w:type="dxa"/>
            <w:noWrap/>
            <w:vAlign w:val="center"/>
          </w:tcPr>
          <w:p>
            <w:pPr>
              <w:keepNext w:val="0"/>
              <w:keepLines w:val="0"/>
              <w:pageBreakBefore w:val="0"/>
              <w:widowControl w:val="0"/>
              <w:kinsoku/>
              <w:wordWrap/>
              <w:overflowPunct/>
              <w:topLinePunct w:val="0"/>
              <w:autoSpaceDE/>
              <w:autoSpaceDN/>
              <w:bidi w:val="0"/>
              <w:adjustRightInd/>
              <w:snapToGrid/>
              <w:ind w:firstLine="270" w:firstLineChars="150"/>
              <w:jc w:val="center"/>
              <w:textAlignment w:val="auto"/>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其中大安</w:t>
            </w:r>
          </w:p>
        </w:tc>
        <w:tc>
          <w:tcPr>
            <w:tcW w:w="891" w:type="dxa"/>
            <w:shd w:val="clear" w:color="auto" w:fill="auto"/>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w:t>
            </w:r>
          </w:p>
        </w:tc>
        <w:tc>
          <w:tcPr>
            <w:tcW w:w="77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11</w:t>
            </w:r>
          </w:p>
        </w:tc>
        <w:tc>
          <w:tcPr>
            <w:tcW w:w="850"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32</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53</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74</w:t>
            </w:r>
          </w:p>
        </w:tc>
        <w:tc>
          <w:tcPr>
            <w:tcW w:w="851" w:type="dxa"/>
            <w:vAlign w:val="center"/>
          </w:tcPr>
          <w:p>
            <w:pPr>
              <w:jc w:val="center"/>
              <w:rPr>
                <w:rFonts w:hint="default" w:ascii="FreeSerif" w:hAnsi="FreeSerif" w:eastAsia="方正仿宋_GBK" w:cs="FreeSerif"/>
                <w:color w:val="000000" w:themeColor="text1"/>
                <w:sz w:val="18"/>
                <w:szCs w:val="18"/>
                <w14:textFill>
                  <w14:solidFill>
                    <w14:schemeClr w14:val="tx1"/>
                  </w14:solidFill>
                </w14:textFill>
              </w:rPr>
            </w:pPr>
            <w:r>
              <w:rPr>
                <w:rFonts w:hint="default" w:ascii="FreeSerif" w:hAnsi="FreeSerif" w:eastAsia="方正仿宋_GBK" w:cs="FreeSerif"/>
                <w:color w:val="000000" w:themeColor="text1"/>
                <w:sz w:val="18"/>
                <w:szCs w:val="18"/>
                <w14:textFill>
                  <w14:solidFill>
                    <w14:schemeClr w14:val="tx1"/>
                  </w14:solidFill>
                </w14:textFill>
              </w:rPr>
              <w:t>91</w:t>
            </w:r>
          </w:p>
        </w:tc>
      </w:tr>
    </w:tbl>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说明：</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FreeSerif" w:hAnsi="FreeSerif" w:eastAsia="仿宋" w:cs="FreeSerif"/>
          <w:sz w:val="32"/>
          <w:szCs w:val="32"/>
          <w:lang w:eastAsia="zh-CN"/>
        </w:rPr>
        <w:t>①</w:t>
      </w:r>
      <w:r>
        <w:rPr>
          <w:rFonts w:hint="default" w:ascii="FreeSerif" w:hAnsi="FreeSerif" w:eastAsia="方正仿宋_GBK" w:cs="FreeSerif"/>
          <w:sz w:val="32"/>
          <w:szCs w:val="32"/>
        </w:rPr>
        <w:t>白城市正处于工业快速发展阶段，尤其是随着吉林西部（大安）清洁能源化工产业园的建设推进，对二类和三类危险品运输需求呈上升趋势；同时，白城市未来机动车保有量的增长也会增加对汽油、柴油的运输需求；随着全市对第二类和第三类危险品运输需求的增长，应合理增加相应运力指标的投放。</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FreeSerif" w:hAnsi="FreeSerif" w:cs="FreeSerif" w:eastAsiaTheme="majorEastAsia"/>
          <w:sz w:val="32"/>
          <w:szCs w:val="32"/>
          <w:lang w:eastAsia="zh-CN"/>
        </w:rPr>
        <w:t>②</w:t>
      </w:r>
      <w:r>
        <w:rPr>
          <w:rFonts w:hint="default" w:ascii="FreeSerif" w:hAnsi="FreeSerif" w:eastAsia="方正仿宋_GBK" w:cs="FreeSerif"/>
          <w:sz w:val="32"/>
          <w:szCs w:val="32"/>
        </w:rPr>
        <w:t>随着白城化工园区、白城绿电产业示范园区和洮南化工产业园区的建设推进，对三类和六类危险品运输需求呈上升趋势，应在运力指标投放上进行相应考虑。</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FreeSerif" w:hAnsi="FreeSerif" w:eastAsia="仿宋" w:cs="FreeSerif"/>
          <w:sz w:val="32"/>
          <w:szCs w:val="32"/>
          <w:lang w:eastAsia="zh-CN"/>
        </w:rPr>
        <w:t>③</w:t>
      </w:r>
      <w:r>
        <w:rPr>
          <w:rFonts w:hint="default" w:ascii="FreeSerif" w:hAnsi="FreeSerif" w:eastAsia="方正仿宋_GBK" w:cs="FreeSerif"/>
          <w:sz w:val="32"/>
          <w:szCs w:val="32"/>
        </w:rPr>
        <w:t>白城市第九类危险品运输需求呈增长态势，未来十年内该类运力指标应适当增加。</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FreeSerif" w:hAnsi="FreeSerif" w:eastAsia="仿宋" w:cs="FreeSerif"/>
          <w:sz w:val="32"/>
          <w:szCs w:val="32"/>
          <w:lang w:eastAsia="zh-CN"/>
        </w:rPr>
        <w:t>④</w:t>
      </w:r>
      <w:r>
        <w:rPr>
          <w:rFonts w:hint="default" w:ascii="FreeSerif" w:hAnsi="FreeSerif" w:eastAsia="方正仿宋_GBK" w:cs="FreeSerif"/>
          <w:sz w:val="32"/>
          <w:szCs w:val="32"/>
        </w:rPr>
        <w:t>白城市第一类、第六类和第八类危险品有稳定的运输需求，应对其投放相应的运力指标。</w:t>
      </w:r>
      <w:bookmarkStart w:id="103" w:name="_Toc86007964"/>
      <w:bookmarkStart w:id="104" w:name="_Toc86007827"/>
      <w:bookmarkStart w:id="105" w:name="_Toc71998624"/>
      <w:bookmarkStart w:id="106" w:name="_Toc85706143"/>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FreeSerif" w:hAnsi="FreeSerif" w:cs="FreeSerif" w:eastAsiaTheme="majorEastAsia"/>
          <w:sz w:val="32"/>
          <w:szCs w:val="32"/>
          <w:lang w:eastAsia="zh-CN"/>
        </w:rPr>
        <w:t>⑤</w:t>
      </w:r>
      <w:r>
        <w:rPr>
          <w:rFonts w:hint="default" w:ascii="FreeSerif" w:hAnsi="FreeSerif" w:eastAsia="方正仿宋_GBK" w:cs="FreeSerif"/>
          <w:sz w:val="32"/>
          <w:szCs w:val="32"/>
        </w:rPr>
        <w:t>白城市目前没有经营第四类、第五类、第七类危险品的企业，并且在未来的发展规划中也不存在对上述危险品的需求，故暂时可不投放相应的运力指标。</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4.2.3 运输车辆类型的确定</w:t>
      </w:r>
      <w:bookmarkEnd w:id="103"/>
      <w:bookmarkEnd w:id="104"/>
      <w:bookmarkEnd w:id="105"/>
      <w:bookmarkEnd w:id="106"/>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危险货物道路运输管理规定》第一章第六条中的相关规定，国家鼓励技术力量雄厚、设备和运输条件好的大型专业危险物品生产或经营企业从事危险货物道路运输，鼓励危险货物道路运输企业实行集约化、专业化经营，鼓励使用厢式、罐式和集装箱等专用车辆运输危险货物。</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第二章第二十二条中的相关规定，禁止使用报废的、擅自改装的、检测不合格的、车辆技术等级达不到一级的和其他不符合国家规定的车辆从事危险货物道路运输。禁止使用移动罐体（罐式集装箱除外）从事危险货物道路运输。</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根据第一章第十九条中的相关规定，危险货物道路运输企业或单位终止危险货物道路运输业务的，应当在终止之日的30日前告知原许可机关，由原许可机关注销其许可证件。</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w:t>
      </w:r>
      <w:r>
        <w:rPr>
          <w:rFonts w:hint="eastAsia" w:ascii="FreeSerif" w:hAnsi="FreeSerif" w:eastAsia="方正仿宋_GBK" w:cs="FreeSerif"/>
          <w:sz w:val="32"/>
          <w:szCs w:val="32"/>
          <w:lang w:eastAsia="zh-CN"/>
        </w:rPr>
        <w:t>《汽车运输、装卸危险货物作业规程》（</w:t>
      </w:r>
      <w:r>
        <w:rPr>
          <w:rFonts w:hint="default" w:ascii="FreeSerif" w:hAnsi="FreeSerif" w:eastAsia="方正仿宋_GBK" w:cs="FreeSerif"/>
          <w:sz w:val="32"/>
          <w:szCs w:val="32"/>
        </w:rPr>
        <w:t>JT618</w:t>
      </w:r>
      <w:r>
        <w:rPr>
          <w:rFonts w:hint="eastAsia" w:ascii="FreeSerif" w:hAnsi="FreeSerif" w:eastAsia="方正仿宋_GBK" w:cs="FreeSerif"/>
          <w:sz w:val="32"/>
          <w:szCs w:val="32"/>
          <w:lang w:eastAsia="zh-CN"/>
        </w:rPr>
        <w:t>—</w:t>
      </w:r>
      <w:r>
        <w:rPr>
          <w:rFonts w:hint="eastAsia" w:ascii="FreeSerif" w:hAnsi="FreeSerif" w:eastAsia="方正仿宋_GBK" w:cs="FreeSerif"/>
          <w:sz w:val="32"/>
          <w:szCs w:val="32"/>
          <w:lang w:val="en-US" w:eastAsia="zh-CN"/>
        </w:rPr>
        <w:t>2004</w:t>
      </w:r>
      <w:r>
        <w:rPr>
          <w:rFonts w:hint="eastAsia" w:ascii="FreeSerif" w:hAnsi="FreeSerif" w:eastAsia="方正仿宋_GBK" w:cs="FreeSerif"/>
          <w:sz w:val="32"/>
          <w:szCs w:val="32"/>
          <w:lang w:eastAsia="zh-CN"/>
        </w:rPr>
        <w:t>）</w:t>
      </w:r>
      <w:r>
        <w:rPr>
          <w:rFonts w:hint="default" w:ascii="FreeSerif" w:hAnsi="FreeSerif" w:eastAsia="方正仿宋_GBK" w:cs="FreeSerif"/>
          <w:sz w:val="32"/>
          <w:szCs w:val="32"/>
        </w:rPr>
        <w:t>中相关规定，运输爆炸品应使用厢式货车，有机过氧化物应选用控温厢式货车运输，毒害品应采用厢式货车运输。散装气体选择罐体。</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《道路运输技术管理规定》中第二章第七条相关规定表明，危货运输车，技术等级应当达到一级。技术等级评定方法应当符合国家有关道路运输车辆技术等级划分和评定的要求。</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107" w:name="_Toc71998625"/>
      <w:bookmarkStart w:id="108" w:name="_Toc1728568315"/>
      <w:r>
        <w:rPr>
          <w:rFonts w:hint="default" w:ascii="FreeSerif" w:hAnsi="FreeSerif" w:eastAsia="方正楷体_GBK" w:cs="FreeSerif"/>
          <w:sz w:val="32"/>
          <w:szCs w:val="32"/>
        </w:rPr>
        <w:t>4.3 市场准入策略</w:t>
      </w:r>
      <w:bookmarkEnd w:id="107"/>
      <w:bookmarkEnd w:id="10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险货物道路运输市场准入管理，是保障危险货物道路运输行业健康发展、安全运行的第一关口，能进能出的市场运行机制，是发展和完善危险货物道路运输市场的必然规律，是解决运输市场存在的深层次矛盾和问题的客观要求，也是行政审批之后动态的后续监管手段。</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对于新设立危险货物道路运输企业、现有企业新增经营范围、现有企业新增或调整运力等情况，在专用车辆及设备、停车场地、从业人员和安全管理人员、安全生产管理制度等方面应严格按照国家规定设立准入门槛。</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4.3.1</w:t>
      </w:r>
      <w:r>
        <w:rPr>
          <w:rFonts w:hint="default" w:ascii="FreeSerif" w:hAnsi="FreeSerif" w:eastAsia="方正仿宋_GBK" w:cs="FreeSerif"/>
          <w:sz w:val="32"/>
          <w:szCs w:val="32"/>
        </w:rPr>
        <w:t>运输车辆及设备准入管理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严格道路危险品运输车辆准入前材料审核和年度审验，自有专用车辆</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挂车除外</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5辆以上，运输剧毒化学品、爆炸品的，自有专用车辆</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挂车除外</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10辆以上，技术要求应当符合《道路运输车辆技术管理规定》有关规定。配备有效的通讯工具和安装具有行驶记录功能的卫星定位装置。运输剧毒化学品、爆炸品、易制爆危险化学品的，应当配备罐式、厢式专用车辆或者压力容器等专用容器。罐式专用车辆的罐体应当经质量检验部门检验合格，且罐体载货后总质量与专用车辆核定载质量相匹配。运输爆炸品、强腐蚀性危险货物的罐式专用车辆的罐体容积不得超过20立方米，运输剧毒化学品的罐式专用车辆的罐体容积不得超过10立方米，但符合国家有关标准的罐式集装箱除外。运输剧毒化学品、爆炸品、强腐蚀性危险货物的非罐式专用车辆，核定载质量不得超过10吨，但符合国家有关标准的集装箱运输专用车辆除外。配备与运输的危险货物性质相适应的安全防护、环境保护和消防设施设备。引导企业加快淘汰行驶里程超过40万公里、使用年限达到强制报废、车辆技术状况差的危险品运输车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4.3.2</w:t>
      </w:r>
      <w:r>
        <w:rPr>
          <w:rFonts w:hint="default" w:ascii="FreeSerif" w:hAnsi="FreeSerif" w:eastAsia="方正仿宋_GBK" w:cs="FreeSerif"/>
          <w:sz w:val="32"/>
          <w:szCs w:val="32"/>
        </w:rPr>
        <w:t>停车场准入管理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险货物道路运输企业的停车场地应符合《道路危险货物运输管理规定》第二章的规定。自有或者租借期限为3年以上，且与经营范围、规模相适应的停车场地，停车场地应当位于企业注册地市级行政区域内。运输剧毒化学品、爆炸品专用车辆以及罐式专用车辆，数量为20辆（含）以下的，停车场地面积不低于车辆正投影面积的1.5倍，数量为20辆以上的，超过部分，每辆车的停车场地面积不低于车辆正投影面积；运输其他危险货物的，专用车辆数量为10辆（含）以下的，停车场地面积不低于车辆正投影面积的1.5倍；数量为10辆以上的，超过部分，每辆车的停车场地面积不低于车辆正投影面积。停车场地应当封闭并设立明显标志，不得妨碍居民生活和威胁公共安全。停车场地应配备视频监控、消防等必要设施设备，强化停车场地安全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4.3.3</w:t>
      </w:r>
      <w:r>
        <w:rPr>
          <w:rFonts w:hint="default" w:ascii="FreeSerif" w:hAnsi="FreeSerif" w:eastAsia="方正仿宋_GBK" w:cs="FreeSerif"/>
          <w:sz w:val="32"/>
          <w:szCs w:val="32"/>
        </w:rPr>
        <w:t>人员准入管理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严把危险货物道路运输从业人员考试与证件发放关，对于从事危险货物道路运输的驾驶员、押运员、装卸管理人员必须持相应的资格证上岗。建立和落实危险货物道路运输（危险品）负责人从业资格制度和专职安全管理人员制度，企业负责人和专职安全管理人员要接受交通运输主管部门对其进行安全生产知识和管理能力考核，并获得从业资格证持证上岗。</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109" w:name="_Toc71998626"/>
      <w:bookmarkStart w:id="110" w:name="_Toc1132317638"/>
      <w:r>
        <w:rPr>
          <w:rFonts w:hint="default" w:ascii="FreeSerif" w:hAnsi="FreeSerif" w:eastAsia="方正楷体_GBK" w:cs="FreeSerif"/>
          <w:sz w:val="32"/>
          <w:szCs w:val="32"/>
        </w:rPr>
        <w:t>4.4 运输安全管理策略</w:t>
      </w:r>
      <w:bookmarkEnd w:id="109"/>
      <w:bookmarkEnd w:id="110"/>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4.4.1</w:t>
      </w:r>
      <w:r>
        <w:rPr>
          <w:rFonts w:hint="default" w:ascii="FreeSerif" w:hAnsi="FreeSerif" w:eastAsia="方正仿宋_GBK" w:cs="FreeSerif"/>
          <w:sz w:val="32"/>
          <w:szCs w:val="32"/>
        </w:rPr>
        <w:t>加强完善安全监管体系</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在危险货物道路运输企业和从业人员的资质、运输车辆、包装物与容器的生产制造和性能标准，运输过程的审查、备案和监控机制、跨地域协调机制、紧急情况的应急救援机制，以及相关部门与人员的问责机制等方面强化管理，措施落实到位，建立起危险货物道路运输管理部门各司其职、协作联动的长效机制，从而避免或减少危险货物道路运输事故的发生。在行业管理过程中，要引导危险货物道路运输企业正确处理安全生产与经济效益的关系，把加强内部安全生产管理作为企业经营管理的重点，督促企业建立健全安全生产的各项管理制度，落实安全生产责任制，健全组织机构，配备安全管理人员，提高车辆技术状况，及时发现和消除事故隐患，在《危险化学品安全管理条例》和《道路危险货物运输安全管理办法》等法律规范的框架内，细化、明确应急、交通运输、公安、市场监管、</w:t>
      </w:r>
      <w:r>
        <w:rPr>
          <w:rFonts w:hint="default" w:ascii="FreeSerif" w:hAnsi="FreeSerif" w:eastAsia="方正仿宋_GBK" w:cs="FreeSerif"/>
          <w:sz w:val="32"/>
          <w:szCs w:val="32"/>
          <w:lang w:val="en"/>
        </w:rPr>
        <w:t>生态</w:t>
      </w:r>
      <w:r>
        <w:rPr>
          <w:rFonts w:hint="default" w:ascii="FreeSerif" w:hAnsi="FreeSerif" w:eastAsia="方正仿宋_GBK" w:cs="FreeSerif"/>
          <w:sz w:val="32"/>
          <w:szCs w:val="32"/>
        </w:rPr>
        <w:t>、工信等部门对危险货物道路运输各环节的监管责任。</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4.4.2</w:t>
      </w:r>
      <w:r>
        <w:rPr>
          <w:rFonts w:hint="default" w:ascii="FreeSerif" w:hAnsi="FreeSerif" w:eastAsia="方正仿宋_GBK" w:cs="FreeSerif"/>
          <w:sz w:val="32"/>
          <w:szCs w:val="32"/>
        </w:rPr>
        <w:t>强化危险货物分类管理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根据危险货物的危险特性、运输过程风险性、营运性质等，分别制定不同管理要求，严格落实企业安全生产主体责任。强化剧毒化学品和第1类爆炸品、罐式车辆及驾驶员、经营性运输等高风险运输行为的管理，进一步明确不同种类危险货物道路运输应急救援器材配备要求。同时，实施分级分类动态严格监管，根据运输企业安全运营考核结果分别制定不同的监管措施，切实提高监管的有效性和针对性。</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val="en-US" w:eastAsia="zh-CN"/>
        </w:rPr>
        <w:t>4.4.3</w:t>
      </w:r>
      <w:r>
        <w:rPr>
          <w:rFonts w:hint="default" w:ascii="FreeSerif" w:hAnsi="FreeSerif" w:eastAsia="方正仿宋_GBK" w:cs="FreeSerif"/>
          <w:sz w:val="32"/>
          <w:szCs w:val="32"/>
        </w:rPr>
        <w:t>提高运输安全保障技术应用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交通运输主管部门应督促危险货物道路运输企业严格按照《</w:t>
      </w:r>
      <w:r>
        <w:rPr>
          <w:rFonts w:hint="default" w:ascii="FreeSerif" w:hAnsi="FreeSerif" w:eastAsia="方正仿宋_GBK" w:cs="FreeSerif"/>
          <w:b w:val="0"/>
          <w:bCs w:val="0"/>
          <w:sz w:val="32"/>
          <w:szCs w:val="32"/>
        </w:rPr>
        <w:t>道路运输车辆动态监督管理办法》（交通运输部令 2016 年第55号</w:t>
      </w:r>
      <w:r>
        <w:rPr>
          <w:rFonts w:hint="default" w:ascii="FreeSerif" w:hAnsi="FreeSerif" w:eastAsia="方正仿宋_GBK" w:cs="FreeSerif"/>
          <w:sz w:val="32"/>
          <w:szCs w:val="32"/>
        </w:rPr>
        <w:t>）要求，规范并统一危险货物道路运输车辆安全监控车载终端安装、使用及监管要求，利用道路运输车辆动态监控平台或者使用符合条件的社会化卫星定位系统监控平台，加强对车辆运行状态、罐体及货品安全状态、行进线路状况等监控，完善危险货物道路运输车辆动态监控管理制度，实时分析、处理车辆行驶动态信息，及时识别驾驶员不安全行为、车辆运行异常状态等风险，对发现超速、疲劳驾驶的车辆及时进行提醒，并对相关车辆驾驶员进行处罚及安全教育，切实履行道路运输车辆动态监控的责任主体。积极推广危险货物道路运输车辆防碰撞装置、槽车罐体防损钢架、智能监控报警装置等。</w:t>
      </w:r>
      <w:r>
        <w:rPr>
          <w:rFonts w:hint="default" w:ascii="FreeSerif" w:hAnsi="FreeSerif" w:eastAsia="方正仿宋_GBK" w:cs="FreeSerif"/>
          <w:sz w:val="32"/>
          <w:szCs w:val="32"/>
        </w:rPr>
        <w:br w:type="page"/>
      </w:r>
    </w:p>
    <w:p>
      <w:pPr>
        <w:keepNext w:val="0"/>
        <w:keepLines w:val="0"/>
        <w:pageBreakBefore w:val="0"/>
        <w:widowControl w:val="0"/>
        <w:kinsoku/>
        <w:wordWrap/>
        <w:overflowPunct w:val="0"/>
        <w:topLinePunct w:val="0"/>
        <w:autoSpaceDE/>
        <w:autoSpaceDN/>
        <w:bidi w:val="0"/>
        <w:adjustRightInd/>
        <w:snapToGrid/>
        <w:spacing w:line="578" w:lineRule="exact"/>
        <w:jc w:val="center"/>
        <w:textAlignment w:val="auto"/>
        <w:outlineLvl w:val="0"/>
        <w:rPr>
          <w:rFonts w:hint="default" w:ascii="FreeSerif" w:hAnsi="FreeSerif" w:eastAsia="方正黑体_GBK" w:cs="FreeSerif"/>
          <w:sz w:val="32"/>
          <w:szCs w:val="32"/>
        </w:rPr>
      </w:pPr>
      <w:bookmarkStart w:id="111" w:name="_Toc1929425132"/>
      <w:bookmarkStart w:id="112" w:name="_Toc71998627"/>
      <w:r>
        <w:rPr>
          <w:rFonts w:hint="default" w:ascii="FreeSerif" w:hAnsi="FreeSerif" w:eastAsia="方正黑体_GBK" w:cs="FreeSerif"/>
          <w:sz w:val="32"/>
          <w:szCs w:val="32"/>
        </w:rPr>
        <w:t>第</w:t>
      </w:r>
      <w:r>
        <w:rPr>
          <w:rFonts w:hint="default" w:ascii="FreeSerif" w:hAnsi="FreeSerif" w:eastAsia="方正黑体_GBK" w:cs="FreeSerif"/>
          <w:sz w:val="32"/>
          <w:szCs w:val="32"/>
          <w:lang w:eastAsia="zh-CN"/>
        </w:rPr>
        <w:t>五</w:t>
      </w:r>
      <w:r>
        <w:rPr>
          <w:rFonts w:hint="default" w:ascii="FreeSerif" w:hAnsi="FreeSerif" w:eastAsia="方正黑体_GBK" w:cs="FreeSerif"/>
          <w:sz w:val="32"/>
          <w:szCs w:val="32"/>
        </w:rPr>
        <w:t>章 规划实施建议及保障措施</w:t>
      </w:r>
      <w:bookmarkEnd w:id="111"/>
      <w:bookmarkEnd w:id="11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13" w:name="_Toc7199862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114" w:name="_Toc612226231"/>
      <w:r>
        <w:rPr>
          <w:rFonts w:hint="default" w:ascii="FreeSerif" w:hAnsi="FreeSerif" w:eastAsia="方正楷体_GBK" w:cs="FreeSerif"/>
          <w:sz w:val="32"/>
          <w:szCs w:val="32"/>
        </w:rPr>
        <w:t>5.1 规划实施建议</w:t>
      </w:r>
      <w:bookmarkEnd w:id="113"/>
      <w:bookmarkEnd w:id="114"/>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随着社会经济的发展，道路运输已成为白城市危险货物道路运输量最大的运输方式。为提高现有交通运输资源利用效率，须逐步建立一个高效、节能、环保、便捷、安全的危险品运输体系，为满足白城市经济社会发展和人民群众生活需求提供有力保障。</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15" w:name="_Toc85706148"/>
      <w:bookmarkStart w:id="116" w:name="_Toc86007832"/>
      <w:bookmarkStart w:id="117" w:name="_Toc86007969"/>
      <w:bookmarkStart w:id="118" w:name="_Toc71998629"/>
      <w:r>
        <w:rPr>
          <w:rFonts w:hint="default" w:ascii="FreeSerif" w:hAnsi="FreeSerif" w:eastAsia="方正仿宋_GBK" w:cs="FreeSerif"/>
          <w:sz w:val="32"/>
          <w:szCs w:val="32"/>
        </w:rPr>
        <w:t>5.1.1完善安全监管机制</w:t>
      </w:r>
      <w:bookmarkEnd w:id="115"/>
      <w:bookmarkEnd w:id="116"/>
      <w:bookmarkEnd w:id="117"/>
      <w:bookmarkEnd w:id="11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白城市危险货物道路运输存在交通</w:t>
      </w:r>
      <w:r>
        <w:rPr>
          <w:rFonts w:hint="eastAsia" w:ascii="方正仿宋_GBK" w:hAnsi="方正仿宋_GBK" w:eastAsia="方正仿宋_GBK" w:cs="方正仿宋_GBK"/>
          <w:sz w:val="32"/>
          <w:szCs w:val="32"/>
          <w:lang w:eastAsia="zh-CN"/>
        </w:rPr>
        <w:t>运输</w:t>
      </w:r>
      <w:r>
        <w:rPr>
          <w:rFonts w:hint="eastAsia" w:ascii="方正仿宋_GBK" w:hAnsi="方正仿宋_GBK" w:eastAsia="方正仿宋_GBK" w:cs="方正仿宋_GBK"/>
          <w:sz w:val="32"/>
          <w:szCs w:val="32"/>
        </w:rPr>
        <w:t>、公安、</w:t>
      </w:r>
      <w:r>
        <w:rPr>
          <w:rFonts w:hint="eastAsia" w:ascii="方正仿宋_GBK" w:hAnsi="方正仿宋_GBK" w:eastAsia="方正仿宋_GBK" w:cs="方正仿宋_GBK"/>
          <w:sz w:val="32"/>
          <w:szCs w:val="32"/>
          <w:lang w:val="en"/>
        </w:rPr>
        <w:t>生态</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
        </w:rPr>
        <w:t>应急</w:t>
      </w:r>
      <w:r>
        <w:rPr>
          <w:rFonts w:hint="eastAsia" w:ascii="方正仿宋_GBK" w:hAnsi="方正仿宋_GBK" w:eastAsia="方正仿宋_GBK" w:cs="方正仿宋_GBK"/>
          <w:sz w:val="32"/>
          <w:szCs w:val="32"/>
        </w:rPr>
        <w:t>、市场</w:t>
      </w:r>
      <w:r>
        <w:rPr>
          <w:rFonts w:hint="eastAsia" w:ascii="方正仿宋_GBK" w:hAnsi="方正仿宋_GBK" w:eastAsia="方正仿宋_GBK" w:cs="方正仿宋_GBK"/>
          <w:sz w:val="32"/>
          <w:szCs w:val="32"/>
          <w:lang w:val="en"/>
        </w:rPr>
        <w:t>监管</w:t>
      </w:r>
      <w:r>
        <w:rPr>
          <w:rFonts w:hint="eastAsia" w:ascii="方正仿宋_GBK" w:hAnsi="方正仿宋_GBK" w:eastAsia="方正仿宋_GBK" w:cs="方正仿宋_GBK"/>
          <w:sz w:val="32"/>
          <w:szCs w:val="32"/>
        </w:rPr>
        <w:t>、工信等多个部门参与管理等问题，就其中某一领域实施分散化的管理，缺乏完备的管理制度，缺少具体的部门牵头建立机制，在危险品管理、运输、处置中不易明确责任。</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交通运输主管部门对危险货物道路运输行业的监管常常存在简单化、“一刀切”问题，无法实现行业管理资源的优化配置。特别是行业监管力量有限的情况下，采用“拉网式”检查模式，难以及时发现、消除安全隐患，执法效果不理想，不利于监管效能的充分发挥。</w:t>
      </w:r>
      <w:r>
        <w:rPr>
          <w:rFonts w:hint="eastAsia" w:ascii="方正仿宋_GBK" w:hAnsi="方正仿宋_GBK" w:eastAsia="方正仿宋_GBK" w:cs="方正仿宋_GBK"/>
          <w:b w:val="0"/>
          <w:bCs w:val="0"/>
          <w:sz w:val="32"/>
          <w:szCs w:val="32"/>
        </w:rPr>
        <w:t>《中共中央办公厅 国务院办</w:t>
      </w:r>
      <w:r>
        <w:rPr>
          <w:rFonts w:hint="default" w:ascii="FreeSerif" w:hAnsi="FreeSerif" w:eastAsia="方正仿宋_GBK" w:cs="FreeSerif"/>
          <w:b w:val="0"/>
          <w:bCs w:val="0"/>
          <w:sz w:val="32"/>
          <w:szCs w:val="32"/>
        </w:rPr>
        <w:t>公厅关于全面加强危险化学品安全生产工作的意见》明确要求加强和规范事中事后监管，在对涉及危险化学品企业进行全覆盖监管基础上，实施分级分类动态严格监管。《国务院关于加强和规范事中事后监管的指导意见》明确提出，要把更多行</w:t>
      </w:r>
      <w:r>
        <w:rPr>
          <w:rFonts w:hint="default" w:ascii="FreeSerif" w:hAnsi="FreeSerif" w:eastAsia="方正仿宋_GBK" w:cs="FreeSerif"/>
          <w:sz w:val="32"/>
          <w:szCs w:val="32"/>
        </w:rPr>
        <w:t>政资源从事前审批转到加强事中事后监管上来，落实监管责任，健全监管规则，创新监管方式，加快构建权责明确、公平公正、公开透明、简约高效的事中事后监管体系。</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19" w:name="_Toc86007833"/>
      <w:bookmarkStart w:id="120" w:name="_Toc85706149"/>
      <w:bookmarkStart w:id="121" w:name="_Toc71998630"/>
      <w:bookmarkStart w:id="122" w:name="_Toc86007970"/>
      <w:r>
        <w:rPr>
          <w:rFonts w:hint="default" w:ascii="FreeSerif" w:hAnsi="FreeSerif" w:eastAsia="方正仿宋_GBK" w:cs="FreeSerif"/>
          <w:sz w:val="32"/>
          <w:szCs w:val="32"/>
        </w:rPr>
        <w:t>5.1.2完善相关法律规定</w:t>
      </w:r>
      <w:bookmarkEnd w:id="119"/>
      <w:bookmarkEnd w:id="120"/>
      <w:bookmarkEnd w:id="121"/>
      <w:bookmarkEnd w:id="12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目前，对危险化学品安全管理、安全运输虽然出台了许多管理条例、管理办法，但尚待进一步完善。尤其是对于危险化学品运输车辆在市区道路的通行制定了相关规定，但是对于高速公路通行却没有相关规定，存在法制规定和规范的空白。应提出比其他道路运输更高的交通安全标准，制定比普通货物运输从业人员更严格的培训考核要求，对道路通行条件和隐患排查等制定更加严格的规定。</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23" w:name="_Toc71998631"/>
      <w:bookmarkStart w:id="124" w:name="_Toc86007971"/>
      <w:bookmarkStart w:id="125" w:name="_Toc85706150"/>
      <w:bookmarkStart w:id="126" w:name="_Toc86007834"/>
      <w:r>
        <w:rPr>
          <w:rFonts w:hint="default" w:ascii="FreeSerif" w:hAnsi="FreeSerif" w:eastAsia="方正仿宋_GBK" w:cs="FreeSerif"/>
          <w:sz w:val="32"/>
          <w:szCs w:val="32"/>
        </w:rPr>
        <w:t>5.1.3强化信息化监管执法</w:t>
      </w:r>
      <w:bookmarkEnd w:id="123"/>
      <w:bookmarkEnd w:id="124"/>
      <w:bookmarkEnd w:id="125"/>
      <w:bookmarkEnd w:id="126"/>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在建设危险货物道路运输安全监管系统方面，提出如下建议：</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1</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建设完善危货车辆动态监管子系统</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完善优化平台监管，建设企业及车辆监管、违规分析等功能，从而进一步提升危货车辆动态监管能力。</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2</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建设现场检查管理子系统</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主要针对白城市道路运输管理机构在危险货物道路运输企业户检户查时使用，形成闭环、规范化、痕迹化管理模式。</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3</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建设危险货物道路运输电子运单行业监管子系统</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采集危险货物道路运输的运单信息，整合危险货物道路运输电子运单管理系统、运政管理系统、联网联控系统等系统的核心数据，通过危险货物道路运输电子运单管理子系统数据与卫星定位数据进行对比分析，实时监测出车辆违规行为并进行预警和监管。</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lang w:val="en-US" w:eastAsia="zh-CN"/>
        </w:rPr>
        <w:t>4</w:t>
      </w:r>
      <w:r>
        <w:rPr>
          <w:rFonts w:hint="default" w:ascii="FreeSerif" w:hAnsi="FreeSerif" w:eastAsia="方正仿宋_GBK" w:cs="FreeSerif"/>
          <w:sz w:val="32"/>
          <w:szCs w:val="32"/>
          <w:lang w:eastAsia="zh-CN"/>
        </w:rPr>
        <w:t>）</w:t>
      </w:r>
      <w:r>
        <w:rPr>
          <w:rFonts w:hint="default" w:ascii="FreeSerif" w:hAnsi="FreeSerif" w:eastAsia="方正仿宋_GBK" w:cs="FreeSerif"/>
          <w:sz w:val="32"/>
          <w:szCs w:val="32"/>
        </w:rPr>
        <w:t>建设风险预警子系统</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当其他系统有异常情况发生时，系统将自动发出警示，并将警示信息发送给相关人员，以便及时处理。主要包括异常指标管理、数据采集监控、异常数据处理等。</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outlineLvl w:val="1"/>
        <w:rPr>
          <w:rFonts w:hint="default" w:ascii="FreeSerif" w:hAnsi="FreeSerif" w:eastAsia="方正楷体_GBK" w:cs="FreeSerif"/>
          <w:sz w:val="32"/>
          <w:szCs w:val="32"/>
        </w:rPr>
      </w:pPr>
      <w:bookmarkStart w:id="127" w:name="_Toc71998632"/>
      <w:bookmarkStart w:id="128" w:name="_Toc994337142"/>
      <w:r>
        <w:rPr>
          <w:rFonts w:hint="default" w:ascii="FreeSerif" w:hAnsi="FreeSerif" w:eastAsia="方正楷体_GBK" w:cs="FreeSerif"/>
          <w:sz w:val="32"/>
          <w:szCs w:val="32"/>
        </w:rPr>
        <w:t>5.2规划保障措施</w:t>
      </w:r>
      <w:bookmarkEnd w:id="127"/>
      <w:bookmarkEnd w:id="128"/>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危险货物道路运输涉及人、车、路、货物和环境等诸多因素，潜藏着众多运输安全隐患，极易造成重大人员伤亡、财产损失和环境灾害，同时危险品运输也为保障经济社会发展和人民群众生活发挥了重要作用。鉴于其特殊的运输性质，政府相关部门应对危险品运输发展予以高度重视，积极扶持，保障运输安全、促进行业健康发展。</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29" w:name="_Toc85706152"/>
      <w:bookmarkStart w:id="130" w:name="_Toc86007836"/>
      <w:bookmarkStart w:id="131" w:name="_Toc86007973"/>
      <w:bookmarkStart w:id="132" w:name="_Toc71998633"/>
      <w:r>
        <w:rPr>
          <w:rFonts w:hint="default" w:ascii="FreeSerif" w:hAnsi="FreeSerif" w:eastAsia="方正仿宋_GBK" w:cs="FreeSerif"/>
          <w:sz w:val="32"/>
          <w:szCs w:val="32"/>
        </w:rPr>
        <w:t>5.2.1建立安全评估制度</w:t>
      </w:r>
      <w:bookmarkEnd w:id="129"/>
      <w:bookmarkEnd w:id="130"/>
      <w:bookmarkEnd w:id="131"/>
      <w:bookmarkEnd w:id="132"/>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逐步推行危险货物道路运输企业安全评估制度，委托有资质的中介机构对运输企业进行安全评估，划分等级，要把企业运输安全资质条件作为危险货物道路运输经营许可审批、企业经营资质评定、企业质量信誉考核的重要内容，作为年检年审的重要依据，并实行安全一票否决制。</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可根据交通运输部危险化学品道路运输企业重大隐患判定标准和危险化学品道路运输安全评估导则，开展危险化学品道路运输企业安全评估，对存在问题的企业依法停业整顿，对经停产停业整顿仍不具备安全生产条件的危险化学品道路运输企业</w:t>
      </w:r>
      <w:r>
        <w:rPr>
          <w:rFonts w:hint="default" w:ascii="FreeSerif" w:hAnsi="FreeSerif" w:eastAsia="方正仿宋_GBK" w:cs="FreeSerif"/>
          <w:sz w:val="32"/>
          <w:szCs w:val="32"/>
          <w:lang w:val="en"/>
        </w:rPr>
        <w:t>，</w:t>
      </w:r>
      <w:r>
        <w:rPr>
          <w:rFonts w:hint="default" w:ascii="FreeSerif" w:hAnsi="FreeSerif" w:eastAsia="方正仿宋_GBK" w:cs="FreeSerif"/>
          <w:sz w:val="32"/>
          <w:szCs w:val="32"/>
        </w:rPr>
        <w:t>由审批机关依法吊销相应的营运资质。</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33" w:name="_Toc71998634"/>
      <w:bookmarkStart w:id="134" w:name="_Toc86007974"/>
      <w:bookmarkStart w:id="135" w:name="_Toc85706153"/>
      <w:bookmarkStart w:id="136" w:name="_Toc86007837"/>
      <w:r>
        <w:rPr>
          <w:rFonts w:hint="default" w:ascii="FreeSerif" w:hAnsi="FreeSerif" w:eastAsia="方正仿宋_GBK" w:cs="FreeSerif"/>
          <w:sz w:val="32"/>
          <w:szCs w:val="32"/>
        </w:rPr>
        <w:t>5.2.2重视企业从业人员安全培训</w:t>
      </w:r>
      <w:bookmarkEnd w:id="133"/>
      <w:r>
        <w:rPr>
          <w:rFonts w:hint="default" w:ascii="FreeSerif" w:hAnsi="FreeSerif" w:eastAsia="方正仿宋_GBK" w:cs="FreeSerif"/>
          <w:sz w:val="32"/>
          <w:szCs w:val="32"/>
        </w:rPr>
        <w:t>教育</w:t>
      </w:r>
      <w:bookmarkEnd w:id="134"/>
      <w:bookmarkEnd w:id="135"/>
      <w:bookmarkEnd w:id="136"/>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b w:val="0"/>
          <w:bCs w:val="0"/>
          <w:sz w:val="32"/>
          <w:szCs w:val="32"/>
        </w:rPr>
        <w:t>根</w:t>
      </w:r>
      <w:r>
        <w:rPr>
          <w:rFonts w:hint="eastAsia" w:ascii="方正仿宋_GBK" w:hAnsi="方正仿宋_GBK" w:eastAsia="方正仿宋_GBK" w:cs="方正仿宋_GBK"/>
          <w:b w:val="0"/>
          <w:bCs w:val="0"/>
          <w:sz w:val="32"/>
          <w:szCs w:val="32"/>
        </w:rPr>
        <w:t>据《吉林省安全生产委员会关于印发</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吉林省危险化学品道路运输安全集中整治实施方案</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
        </w:rPr>
        <w:t>吉林省非法违法“小化工”专项</w:t>
      </w:r>
      <w:r>
        <w:rPr>
          <w:rFonts w:hint="default" w:ascii="FreeSerif" w:hAnsi="FreeSerif" w:eastAsia="方正仿宋_GBK" w:cs="FreeSerif"/>
          <w:b w:val="0"/>
          <w:bCs w:val="0"/>
          <w:sz w:val="32"/>
          <w:szCs w:val="32"/>
          <w:lang w:val="en"/>
        </w:rPr>
        <w:t>整治实施方案</w:t>
      </w:r>
      <w:r>
        <w:rPr>
          <w:rFonts w:hint="eastAsia" w:ascii="FreeSerif" w:hAnsi="FreeSerif" w:eastAsia="方正仿宋_GBK" w:cs="FreeSerif"/>
          <w:b w:val="0"/>
          <w:bCs w:val="0"/>
          <w:sz w:val="32"/>
          <w:szCs w:val="32"/>
          <w:lang w:val="en" w:eastAsia="zh-CN"/>
        </w:rPr>
        <w:t>〉</w:t>
      </w:r>
      <w:r>
        <w:rPr>
          <w:rFonts w:hint="default" w:ascii="FreeSerif" w:hAnsi="FreeSerif" w:eastAsia="方正仿宋_GBK" w:cs="FreeSerif"/>
          <w:b w:val="0"/>
          <w:bCs w:val="0"/>
          <w:sz w:val="32"/>
          <w:szCs w:val="32"/>
          <w:lang w:val="en"/>
        </w:rPr>
        <w:t>的</w:t>
      </w:r>
      <w:r>
        <w:rPr>
          <w:rFonts w:hint="default" w:ascii="FreeSerif" w:hAnsi="FreeSerif" w:eastAsia="方正仿宋_GBK" w:cs="FreeSerif"/>
          <w:b w:val="0"/>
          <w:bCs w:val="0"/>
          <w:sz w:val="32"/>
          <w:szCs w:val="32"/>
        </w:rPr>
        <w:t>通知</w:t>
      </w:r>
      <w:r>
        <w:rPr>
          <w:rFonts w:hint="default" w:ascii="FreeSerif" w:hAnsi="FreeSerif" w:eastAsia="方正仿宋_GBK" w:cs="FreeSerif"/>
          <w:b w:val="0"/>
          <w:bCs w:val="0"/>
          <w:sz w:val="32"/>
          <w:szCs w:val="32"/>
          <w:lang w:val="en"/>
        </w:rPr>
        <w:t>》（吉</w:t>
      </w:r>
      <w:r>
        <w:rPr>
          <w:rFonts w:hint="default" w:ascii="FreeSerif" w:hAnsi="FreeSerif" w:eastAsia="方正仿宋_GBK" w:cs="FreeSerif"/>
          <w:sz w:val="32"/>
          <w:szCs w:val="32"/>
          <w:lang w:val="en"/>
        </w:rPr>
        <w:t>安委〔2020〕28号）</w:t>
      </w:r>
      <w:r>
        <w:rPr>
          <w:rFonts w:hint="default" w:ascii="FreeSerif" w:hAnsi="FreeSerif" w:eastAsia="方正仿宋_GBK" w:cs="FreeSerif"/>
          <w:sz w:val="32"/>
          <w:szCs w:val="32"/>
        </w:rPr>
        <w:t>中第二</w:t>
      </w:r>
      <w:r>
        <w:rPr>
          <w:rFonts w:hint="eastAsia" w:ascii="方正仿宋_GBK" w:hAnsi="方正仿宋_GBK" w:eastAsia="方正仿宋_GBK" w:cs="方正仿宋_GBK"/>
          <w:sz w:val="32"/>
          <w:szCs w:val="32"/>
        </w:rPr>
        <w:t>项“督促危险货物道路运输企业严格落实企业安全生产主体责任”，</w:t>
      </w:r>
      <w:r>
        <w:rPr>
          <w:rFonts w:hint="default" w:ascii="FreeSerif" w:hAnsi="FreeSerif" w:eastAsia="方正仿宋_GBK" w:cs="FreeSerif"/>
          <w:sz w:val="32"/>
          <w:szCs w:val="32"/>
        </w:rPr>
        <w:t>定期组织相关人员开展安全生产、职业道德、业务知识、操作规程的教育培训，提高从业人员技能，每月培训不得少于1次，培训时间每次不得低于1.5小时。</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37" w:name="_Toc86007975"/>
      <w:bookmarkStart w:id="138" w:name="_Toc86007838"/>
      <w:bookmarkStart w:id="139" w:name="_Toc85706154"/>
      <w:bookmarkStart w:id="140" w:name="_Toc71998635"/>
      <w:r>
        <w:rPr>
          <w:rFonts w:hint="default" w:ascii="FreeSerif" w:hAnsi="FreeSerif" w:eastAsia="方正仿宋_GBK" w:cs="FreeSerif"/>
          <w:sz w:val="32"/>
          <w:szCs w:val="32"/>
        </w:rPr>
        <w:t>5.2.3提升监督检查执行力度</w:t>
      </w:r>
      <w:bookmarkEnd w:id="137"/>
      <w:bookmarkEnd w:id="138"/>
      <w:bookmarkEnd w:id="139"/>
      <w:bookmarkEnd w:id="140"/>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default" w:ascii="FreeSerif" w:hAnsi="FreeSerif" w:eastAsia="方正仿宋_GBK" w:cs="FreeSerif"/>
          <w:sz w:val="32"/>
          <w:szCs w:val="32"/>
        </w:rPr>
        <w:t>交通运输主管部门应当制定定期监督检查计划，按照计划及危险货物道路运输路检路查清单和危险货物道路运输企业安全检查清单对辖区内的危险货物道路运输活动进行监督检查。监督检查对象应至少包括在本辖区注册的危险货物道路运输企业及车辆，以及在本辖区从事经营活动的异地危险货物道路运输车辆。</w:t>
      </w:r>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41" w:name="_Toc71998636"/>
      <w:r>
        <w:rPr>
          <w:rFonts w:hint="default" w:ascii="FreeSerif" w:hAnsi="FreeSerif" w:eastAsia="方正仿宋_GBK" w:cs="FreeSerif"/>
          <w:sz w:val="32"/>
          <w:szCs w:val="32"/>
        </w:rPr>
        <w:t>交通运输主管部门应将异地危险货物道路运输车辆运输的监督检查情况定期抄送给车辆所属地交通运输主管部门，由其纳入安全运营考核。</w:t>
      </w:r>
      <w:bookmarkEnd w:id="141"/>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bookmarkStart w:id="142" w:name="_Toc85706155"/>
      <w:bookmarkStart w:id="143" w:name="_Toc86007839"/>
      <w:bookmarkStart w:id="144" w:name="_Toc86007976"/>
      <w:r>
        <w:rPr>
          <w:rFonts w:hint="default" w:ascii="FreeSerif" w:hAnsi="FreeSerif" w:eastAsia="方正仿宋_GBK" w:cs="FreeSerif"/>
          <w:sz w:val="32"/>
          <w:szCs w:val="32"/>
        </w:rPr>
        <w:t>5.2.4 建立监管执法人员业务培训制度</w:t>
      </w:r>
      <w:bookmarkEnd w:id="142"/>
      <w:bookmarkEnd w:id="143"/>
      <w:bookmarkEnd w:id="144"/>
    </w:p>
    <w:p>
      <w:pPr>
        <w:keepNext w:val="0"/>
        <w:keepLines w:val="0"/>
        <w:pageBreakBefore w:val="0"/>
        <w:widowControl w:val="0"/>
        <w:kinsoku/>
        <w:wordWrap/>
        <w:overflowPunct w:val="0"/>
        <w:topLinePunct w:val="0"/>
        <w:autoSpaceDE/>
        <w:autoSpaceDN/>
        <w:bidi w:val="0"/>
        <w:adjustRightInd/>
        <w:snapToGrid/>
        <w:spacing w:line="578" w:lineRule="exact"/>
        <w:ind w:firstLine="640" w:firstLineChars="200"/>
        <w:jc w:val="both"/>
        <w:textAlignment w:val="auto"/>
        <w:rPr>
          <w:rFonts w:hint="default" w:ascii="FreeSerif" w:hAnsi="FreeSerif" w:eastAsia="方正仿宋_GBK" w:cs="FreeSerif"/>
          <w:sz w:val="32"/>
          <w:szCs w:val="32"/>
        </w:rPr>
      </w:pPr>
      <w:r>
        <w:rPr>
          <w:rFonts w:hint="eastAsia" w:ascii="方正仿宋_GBK" w:hAnsi="方正仿宋_GBK" w:eastAsia="方正仿宋_GBK" w:cs="方正仿宋_GBK"/>
          <w:sz w:val="32"/>
          <w:szCs w:val="32"/>
        </w:rPr>
        <w:t>危险货物种类繁多、理化性质复杂，安全风险高，行业管理工作专业性强，需要施行“专业人管专业事”。德国</w:t>
      </w:r>
      <w:r>
        <w:rPr>
          <w:rFonts w:hint="default" w:ascii="FreeSerif" w:hAnsi="FreeSerif" w:eastAsia="方正仿宋_GBK" w:cs="FreeSerif"/>
          <w:sz w:val="32"/>
          <w:szCs w:val="32"/>
        </w:rPr>
        <w:t>联邦货运管理局负责危险货物道路运输执法检查的人员上岗前都接受过ADR及相关法规的专业培训，并且需要在经验丰富的检查人员带领下进行160个学时的实际操作，才能够进行独立检查。《</w:t>
      </w:r>
      <w:r>
        <w:rPr>
          <w:rFonts w:hint="default" w:ascii="FreeSerif" w:hAnsi="FreeSerif" w:eastAsia="方正仿宋_GBK" w:cs="FreeSerif"/>
          <w:b w:val="0"/>
          <w:bCs w:val="0"/>
          <w:sz w:val="32"/>
          <w:szCs w:val="32"/>
        </w:rPr>
        <w:t>中共中央办公厅 国务院办公厅关于全面加强危险化学品安全生产工作的意见》要求，</w:t>
      </w:r>
      <w:r>
        <w:rPr>
          <w:rFonts w:hint="eastAsia" w:ascii="方正仿宋_GBK" w:hAnsi="方正仿宋_GBK" w:eastAsia="方正仿宋_GBK" w:cs="方正仿宋_GBK"/>
          <w:b w:val="0"/>
          <w:bCs w:val="0"/>
          <w:sz w:val="32"/>
          <w:szCs w:val="32"/>
        </w:rPr>
        <w:t>“</w:t>
      </w:r>
      <w:r>
        <w:rPr>
          <w:rFonts w:hint="default" w:ascii="FreeSerif" w:hAnsi="FreeSerif" w:eastAsia="方正仿宋_GBK" w:cs="FreeSerif"/>
          <w:b w:val="0"/>
          <w:bCs w:val="0"/>
          <w:sz w:val="32"/>
          <w:szCs w:val="32"/>
        </w:rPr>
        <w:t>完善监管执法人员培训制度，入职培训</w:t>
      </w:r>
      <w:r>
        <w:rPr>
          <w:rFonts w:hint="default" w:ascii="FreeSerif" w:hAnsi="FreeSerif" w:eastAsia="方正仿宋_GBK" w:cs="FreeSerif"/>
          <w:sz w:val="32"/>
          <w:szCs w:val="32"/>
        </w:rPr>
        <w:t>不少于3个月，每年参加为期不少于2周的复训</w:t>
      </w:r>
      <w:r>
        <w:rPr>
          <w:rFonts w:hint="eastAsia" w:ascii="方正仿宋_GBK" w:hAnsi="方正仿宋_GBK" w:eastAsia="方正仿宋_GBK" w:cs="方正仿宋_GBK"/>
          <w:sz w:val="32"/>
          <w:szCs w:val="32"/>
        </w:rPr>
        <w:t>”</w:t>
      </w:r>
      <w:r>
        <w:rPr>
          <w:rFonts w:hint="default" w:ascii="FreeSerif" w:hAnsi="FreeSerif" w:eastAsia="方正仿宋_GBK" w:cs="FreeSerif"/>
          <w:sz w:val="32"/>
          <w:szCs w:val="32"/>
        </w:rPr>
        <w:t>。《中华人民共和国道路运输条例》规定，道路运输管理机构应当加强执法队伍建设，提高其工作人员的法制、业务素质；道路运输管理机构的工作人员应当接受法制和道路运输管理业务培训和考核，考核不合格的，不得上岗执行职务。因此，交通运输主管部门应当对从事危险货物道路运输行业监管执法人员进行专业知识培训。</w:t>
      </w:r>
    </w:p>
    <w:p>
      <w:pPr>
        <w:pStyle w:val="2"/>
        <w:rPr>
          <w:rFonts w:hint="default" w:ascii="FreeSerif" w:hAnsi="FreeSerif" w:eastAsia="方正仿宋_GBK" w:cs="FreeSerif"/>
          <w:b w:val="0"/>
          <w:bCs w:val="0"/>
          <w:sz w:val="32"/>
          <w:szCs w:val="32"/>
          <w:lang w:eastAsia="zh-CN"/>
        </w:rPr>
      </w:pPr>
    </w:p>
    <w:p>
      <w:pPr>
        <w:pStyle w:val="2"/>
        <w:rPr>
          <w:rFonts w:hint="default" w:ascii="FreeSerif" w:hAnsi="FreeSerif" w:eastAsia="方正仿宋_GBK" w:cs="FreeSerif"/>
          <w:b w:val="0"/>
          <w:bCs w:val="0"/>
          <w:sz w:val="32"/>
          <w:szCs w:val="32"/>
          <w:lang w:eastAsia="zh-CN"/>
        </w:rPr>
      </w:pPr>
    </w:p>
    <w:p>
      <w:pPr>
        <w:pStyle w:val="2"/>
        <w:rPr>
          <w:rFonts w:hint="default" w:ascii="FreeSerif" w:hAnsi="FreeSerif" w:eastAsia="方正仿宋_GBK" w:cs="FreeSerif"/>
          <w:b w:val="0"/>
          <w:bCs w:val="0"/>
          <w:sz w:val="32"/>
          <w:szCs w:val="32"/>
          <w:lang w:eastAsia="zh-CN"/>
        </w:rPr>
      </w:pPr>
    </w:p>
    <w:p>
      <w:pPr>
        <w:pStyle w:val="2"/>
        <w:rPr>
          <w:rFonts w:hint="default" w:ascii="FreeSerif" w:hAnsi="FreeSerif" w:eastAsia="方正仿宋_GBK" w:cs="FreeSerif"/>
          <w:b w:val="0"/>
          <w:bCs w:val="0"/>
          <w:sz w:val="32"/>
          <w:szCs w:val="32"/>
          <w:lang w:eastAsia="zh-CN"/>
        </w:rPr>
      </w:pPr>
    </w:p>
    <w:p>
      <w:pPr>
        <w:pStyle w:val="2"/>
        <w:rPr>
          <w:rFonts w:hint="default" w:ascii="FreeSerif" w:hAnsi="FreeSerif" w:eastAsia="方正仿宋_GBK" w:cs="FreeSerif"/>
          <w:b w:val="0"/>
          <w:bCs w:val="0"/>
          <w:sz w:val="32"/>
          <w:szCs w:val="32"/>
          <w:lang w:eastAsia="zh-CN"/>
        </w:rPr>
      </w:pPr>
    </w:p>
    <w:p>
      <w:pPr>
        <w:pStyle w:val="2"/>
        <w:rPr>
          <w:rFonts w:hint="default" w:ascii="FreeSerif" w:hAnsi="FreeSerif" w:eastAsia="方正仿宋_GBK" w:cs="FreeSerif"/>
          <w:b w:val="0"/>
          <w:bCs w:val="0"/>
          <w:sz w:val="32"/>
          <w:szCs w:val="32"/>
          <w:lang w:eastAsia="zh-CN"/>
        </w:rPr>
      </w:pPr>
      <w:bookmarkStart w:id="145" w:name="_GoBack"/>
      <w:bookmarkEnd w:id="145"/>
    </w:p>
    <w:sectPr>
      <w:pgSz w:w="11906" w:h="16838"/>
      <w:pgMar w:top="2098" w:right="1474" w:bottom="2098" w:left="1474" w:header="851" w:footer="167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FreeSerif">
    <w:altName w:val="Simplified Arabic"/>
    <w:panose1 w:val="02020603050405020304"/>
    <w:charset w:val="00"/>
    <w:family w:val="auto"/>
    <w:pitch w:val="default"/>
    <w:sig w:usb0="00000000" w:usb1="00000000" w:usb2="43501B29" w:usb3="04000043" w:csb0="600101FF" w:csb1="FFFF0000"/>
  </w:font>
  <w:font w:name="文星标宋">
    <w:panose1 w:val="02010604000101010101"/>
    <w:charset w:val="86"/>
    <w:family w:val="auto"/>
    <w:pitch w:val="default"/>
    <w:sig w:usb0="00000001" w:usb1="080E0000" w:usb2="00000000" w:usb3="00000000" w:csb0="00040001" w:csb1="00000000"/>
  </w:font>
  <w:font w:name="方正仿宋_GBK">
    <w:panose1 w:val="03000509000000000000"/>
    <w:charset w:val="86"/>
    <w:family w:val="auto"/>
    <w:pitch w:val="default"/>
    <w:sig w:usb0="00000001" w:usb1="080E0000" w:usb2="00000000" w:usb3="00000000" w:csb0="00040000" w:csb1="00000000"/>
  </w:font>
  <w:font w:name="C-KT">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dobe 黑体 Std R">
    <w:altName w:val="方正黑体_GBK"/>
    <w:panose1 w:val="00000000000000000000"/>
    <w:charset w:val="86"/>
    <w:family w:val="swiss"/>
    <w:pitch w:val="default"/>
    <w:sig w:usb0="00000000" w:usb1="00000000" w:usb2="00000016" w:usb3="00000000" w:csb0="00060007" w:csb1="00000000"/>
  </w:font>
  <w:font w:name="DejaVu Math TeX Gyre">
    <w:altName w:val="Cambria Math"/>
    <w:panose1 w:val="02000503000000000000"/>
    <w:charset w:val="00"/>
    <w:family w:val="auto"/>
    <w:pitch w:val="default"/>
    <w:sig w:usb0="00000000" w:usb1="00000000" w:usb2="02000000" w:usb3="00000000" w:csb0="60000193" w:csb1="0DD40000"/>
  </w:font>
  <w:font w:name="Simplified Arabic">
    <w:panose1 w:val="02020603050405020304"/>
    <w:charset w:val="00"/>
    <w:family w:val="auto"/>
    <w:pitch w:val="default"/>
    <w:sig w:usb0="00002003" w:usb1="00000000" w:usb2="00000000" w:usb3="00000000" w:csb0="00000041" w:csb1="2008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FreeSerif" w:hAnsi="FreeSerif" w:cs="FreeSerif"/>
                              <w:b w:val="0"/>
                              <w:bCs w:val="0"/>
                              <w:sz w:val="28"/>
                              <w:szCs w:val="28"/>
                            </w:rPr>
                          </w:pPr>
                          <w:r>
                            <w:rPr>
                              <w:rFonts w:hint="default" w:ascii="FreeSerif" w:hAnsi="FreeSerif" w:cs="FreeSerif"/>
                              <w:b w:val="0"/>
                              <w:bCs w:val="0"/>
                              <w:sz w:val="28"/>
                              <w:szCs w:val="28"/>
                            </w:rPr>
                            <w:t xml:space="preserve">— </w:t>
                          </w:r>
                          <w:r>
                            <w:rPr>
                              <w:rFonts w:hint="default" w:ascii="FreeSerif" w:hAnsi="FreeSerif" w:cs="FreeSerif"/>
                              <w:b w:val="0"/>
                              <w:bCs w:val="0"/>
                              <w:sz w:val="28"/>
                              <w:szCs w:val="28"/>
                            </w:rPr>
                            <w:fldChar w:fldCharType="begin"/>
                          </w:r>
                          <w:r>
                            <w:rPr>
                              <w:rFonts w:hint="default" w:ascii="FreeSerif" w:hAnsi="FreeSerif" w:cs="FreeSerif"/>
                              <w:b w:val="0"/>
                              <w:bCs w:val="0"/>
                              <w:sz w:val="28"/>
                              <w:szCs w:val="28"/>
                            </w:rPr>
                            <w:instrText xml:space="preserve"> PAGE  \* MERGEFORMAT </w:instrText>
                          </w:r>
                          <w:r>
                            <w:rPr>
                              <w:rFonts w:hint="default" w:ascii="FreeSerif" w:hAnsi="FreeSerif" w:cs="FreeSerif"/>
                              <w:b w:val="0"/>
                              <w:bCs w:val="0"/>
                              <w:sz w:val="28"/>
                              <w:szCs w:val="28"/>
                            </w:rPr>
                            <w:fldChar w:fldCharType="separate"/>
                          </w:r>
                          <w:r>
                            <w:rPr>
                              <w:rFonts w:hint="default" w:ascii="FreeSerif" w:hAnsi="FreeSerif" w:cs="FreeSerif"/>
                              <w:b w:val="0"/>
                              <w:bCs w:val="0"/>
                              <w:sz w:val="28"/>
                              <w:szCs w:val="28"/>
                            </w:rPr>
                            <w:t>1</w:t>
                          </w:r>
                          <w:r>
                            <w:rPr>
                              <w:rFonts w:hint="default" w:ascii="FreeSerif" w:hAnsi="FreeSerif" w:cs="FreeSerif"/>
                              <w:b w:val="0"/>
                              <w:bCs w:val="0"/>
                              <w:sz w:val="28"/>
                              <w:szCs w:val="28"/>
                            </w:rPr>
                            <w:fldChar w:fldCharType="end"/>
                          </w:r>
                          <w:r>
                            <w:rPr>
                              <w:rFonts w:hint="default" w:ascii="FreeSerif" w:hAnsi="FreeSerif" w:cs="FreeSerif"/>
                              <w:b w:val="0"/>
                              <w:bCs w:val="0"/>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default" w:ascii="FreeSerif" w:hAnsi="FreeSerif" w:cs="FreeSerif"/>
                        <w:b w:val="0"/>
                        <w:bCs w:val="0"/>
                        <w:sz w:val="28"/>
                        <w:szCs w:val="28"/>
                      </w:rPr>
                    </w:pPr>
                    <w:r>
                      <w:rPr>
                        <w:rFonts w:hint="default" w:ascii="FreeSerif" w:hAnsi="FreeSerif" w:cs="FreeSerif"/>
                        <w:b w:val="0"/>
                        <w:bCs w:val="0"/>
                        <w:sz w:val="28"/>
                        <w:szCs w:val="28"/>
                      </w:rPr>
                      <w:t xml:space="preserve">— </w:t>
                    </w:r>
                    <w:r>
                      <w:rPr>
                        <w:rFonts w:hint="default" w:ascii="FreeSerif" w:hAnsi="FreeSerif" w:cs="FreeSerif"/>
                        <w:b w:val="0"/>
                        <w:bCs w:val="0"/>
                        <w:sz w:val="28"/>
                        <w:szCs w:val="28"/>
                      </w:rPr>
                      <w:fldChar w:fldCharType="begin"/>
                    </w:r>
                    <w:r>
                      <w:rPr>
                        <w:rFonts w:hint="default" w:ascii="FreeSerif" w:hAnsi="FreeSerif" w:cs="FreeSerif"/>
                        <w:b w:val="0"/>
                        <w:bCs w:val="0"/>
                        <w:sz w:val="28"/>
                        <w:szCs w:val="28"/>
                      </w:rPr>
                      <w:instrText xml:space="preserve"> PAGE  \* MERGEFORMAT </w:instrText>
                    </w:r>
                    <w:r>
                      <w:rPr>
                        <w:rFonts w:hint="default" w:ascii="FreeSerif" w:hAnsi="FreeSerif" w:cs="FreeSerif"/>
                        <w:b w:val="0"/>
                        <w:bCs w:val="0"/>
                        <w:sz w:val="28"/>
                        <w:szCs w:val="28"/>
                      </w:rPr>
                      <w:fldChar w:fldCharType="separate"/>
                    </w:r>
                    <w:r>
                      <w:rPr>
                        <w:rFonts w:hint="default" w:ascii="FreeSerif" w:hAnsi="FreeSerif" w:cs="FreeSerif"/>
                        <w:b w:val="0"/>
                        <w:bCs w:val="0"/>
                        <w:sz w:val="28"/>
                        <w:szCs w:val="28"/>
                      </w:rPr>
                      <w:t>1</w:t>
                    </w:r>
                    <w:r>
                      <w:rPr>
                        <w:rFonts w:hint="default" w:ascii="FreeSerif" w:hAnsi="FreeSerif" w:cs="FreeSerif"/>
                        <w:b w:val="0"/>
                        <w:bCs w:val="0"/>
                        <w:sz w:val="28"/>
                        <w:szCs w:val="28"/>
                      </w:rPr>
                      <w:fldChar w:fldCharType="end"/>
                    </w:r>
                    <w:r>
                      <w:rPr>
                        <w:rFonts w:hint="default" w:ascii="FreeSerif" w:hAnsi="FreeSerif" w:cs="FreeSerif"/>
                        <w:b w:val="0"/>
                        <w:bCs w:val="0"/>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FreeSerif" w:hAnsi="FreeSerif" w:cs="FreeSerif"/>
                              <w:sz w:val="28"/>
                              <w:szCs w:val="28"/>
                            </w:rPr>
                          </w:pPr>
                          <w:r>
                            <w:rPr>
                              <w:rFonts w:hint="default" w:ascii="FreeSerif" w:hAnsi="FreeSerif" w:cs="FreeSerif"/>
                              <w:sz w:val="28"/>
                              <w:szCs w:val="28"/>
                            </w:rPr>
                            <w:t xml:space="preserve">— </w:t>
                          </w:r>
                          <w:r>
                            <w:rPr>
                              <w:rFonts w:hint="default" w:ascii="FreeSerif" w:hAnsi="FreeSerif" w:cs="FreeSerif"/>
                              <w:sz w:val="28"/>
                              <w:szCs w:val="28"/>
                            </w:rPr>
                            <w:fldChar w:fldCharType="begin"/>
                          </w:r>
                          <w:r>
                            <w:rPr>
                              <w:rFonts w:hint="default" w:ascii="FreeSerif" w:hAnsi="FreeSerif" w:cs="FreeSerif"/>
                              <w:sz w:val="28"/>
                              <w:szCs w:val="28"/>
                            </w:rPr>
                            <w:instrText xml:space="preserve"> PAGE  \* MERGEFORMAT </w:instrText>
                          </w:r>
                          <w:r>
                            <w:rPr>
                              <w:rFonts w:hint="default" w:ascii="FreeSerif" w:hAnsi="FreeSerif" w:cs="FreeSerif"/>
                              <w:sz w:val="28"/>
                              <w:szCs w:val="28"/>
                            </w:rPr>
                            <w:fldChar w:fldCharType="separate"/>
                          </w:r>
                          <w:r>
                            <w:rPr>
                              <w:rFonts w:hint="default" w:ascii="FreeSerif" w:hAnsi="FreeSerif" w:cs="FreeSerif"/>
                              <w:sz w:val="28"/>
                              <w:szCs w:val="28"/>
                            </w:rPr>
                            <w:t>1</w:t>
                          </w:r>
                          <w:r>
                            <w:rPr>
                              <w:rFonts w:hint="default" w:ascii="FreeSerif" w:hAnsi="FreeSerif" w:cs="FreeSerif"/>
                              <w:sz w:val="28"/>
                              <w:szCs w:val="28"/>
                            </w:rPr>
                            <w:fldChar w:fldCharType="end"/>
                          </w:r>
                          <w:r>
                            <w:rPr>
                              <w:rFonts w:hint="default" w:ascii="FreeSerif" w:hAnsi="FreeSerif" w:cs="FreeSerif"/>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default" w:ascii="FreeSerif" w:hAnsi="FreeSerif" w:cs="FreeSerif"/>
                        <w:sz w:val="28"/>
                        <w:szCs w:val="28"/>
                      </w:rPr>
                    </w:pPr>
                    <w:r>
                      <w:rPr>
                        <w:rFonts w:hint="default" w:ascii="FreeSerif" w:hAnsi="FreeSerif" w:cs="FreeSerif"/>
                        <w:sz w:val="28"/>
                        <w:szCs w:val="28"/>
                      </w:rPr>
                      <w:t xml:space="preserve">— </w:t>
                    </w:r>
                    <w:r>
                      <w:rPr>
                        <w:rFonts w:hint="default" w:ascii="FreeSerif" w:hAnsi="FreeSerif" w:cs="FreeSerif"/>
                        <w:sz w:val="28"/>
                        <w:szCs w:val="28"/>
                      </w:rPr>
                      <w:fldChar w:fldCharType="begin"/>
                    </w:r>
                    <w:r>
                      <w:rPr>
                        <w:rFonts w:hint="default" w:ascii="FreeSerif" w:hAnsi="FreeSerif" w:cs="FreeSerif"/>
                        <w:sz w:val="28"/>
                        <w:szCs w:val="28"/>
                      </w:rPr>
                      <w:instrText xml:space="preserve"> PAGE  \* MERGEFORMAT </w:instrText>
                    </w:r>
                    <w:r>
                      <w:rPr>
                        <w:rFonts w:hint="default" w:ascii="FreeSerif" w:hAnsi="FreeSerif" w:cs="FreeSerif"/>
                        <w:sz w:val="28"/>
                        <w:szCs w:val="28"/>
                      </w:rPr>
                      <w:fldChar w:fldCharType="separate"/>
                    </w:r>
                    <w:r>
                      <w:rPr>
                        <w:rFonts w:hint="default" w:ascii="FreeSerif" w:hAnsi="FreeSerif" w:cs="FreeSerif"/>
                        <w:sz w:val="28"/>
                        <w:szCs w:val="28"/>
                      </w:rPr>
                      <w:t>1</w:t>
                    </w:r>
                    <w:r>
                      <w:rPr>
                        <w:rFonts w:hint="default" w:ascii="FreeSerif" w:hAnsi="FreeSerif" w:cs="FreeSerif"/>
                        <w:sz w:val="28"/>
                        <w:szCs w:val="28"/>
                      </w:rPr>
                      <w:fldChar w:fldCharType="end"/>
                    </w:r>
                    <w:r>
                      <w:rPr>
                        <w:rFonts w:hint="default" w:ascii="FreeSerif" w:hAnsi="FreeSerif" w:cs="FreeSerif"/>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kYmVhNzA4ZGQxZmQxMTg1OTViYWMyNjI3ZmI3MDgifQ=="/>
  </w:docVars>
  <w:rsids>
    <w:rsidRoot w:val="7F8A4C60"/>
    <w:rsid w:val="00026881"/>
    <w:rsid w:val="00042B3F"/>
    <w:rsid w:val="00073D51"/>
    <w:rsid w:val="00091059"/>
    <w:rsid w:val="000D1B25"/>
    <w:rsid w:val="000E2E70"/>
    <w:rsid w:val="000F3323"/>
    <w:rsid w:val="001067C2"/>
    <w:rsid w:val="0010761F"/>
    <w:rsid w:val="001115DF"/>
    <w:rsid w:val="00154744"/>
    <w:rsid w:val="00183BB9"/>
    <w:rsid w:val="00193479"/>
    <w:rsid w:val="001E46CA"/>
    <w:rsid w:val="001F2715"/>
    <w:rsid w:val="00222565"/>
    <w:rsid w:val="00230BD6"/>
    <w:rsid w:val="00281A4A"/>
    <w:rsid w:val="002D1A2F"/>
    <w:rsid w:val="0035312A"/>
    <w:rsid w:val="00385343"/>
    <w:rsid w:val="003D3D0A"/>
    <w:rsid w:val="003F4C2A"/>
    <w:rsid w:val="0042336A"/>
    <w:rsid w:val="004503AE"/>
    <w:rsid w:val="00452A5D"/>
    <w:rsid w:val="00466E1F"/>
    <w:rsid w:val="00490105"/>
    <w:rsid w:val="00493B6A"/>
    <w:rsid w:val="005507CF"/>
    <w:rsid w:val="005534BA"/>
    <w:rsid w:val="005C5F48"/>
    <w:rsid w:val="005E182A"/>
    <w:rsid w:val="00613314"/>
    <w:rsid w:val="0063130D"/>
    <w:rsid w:val="006535AB"/>
    <w:rsid w:val="006876C8"/>
    <w:rsid w:val="0069452F"/>
    <w:rsid w:val="006B2C6F"/>
    <w:rsid w:val="006D4D23"/>
    <w:rsid w:val="006D5F45"/>
    <w:rsid w:val="006E18CC"/>
    <w:rsid w:val="006F1FD2"/>
    <w:rsid w:val="00703A5E"/>
    <w:rsid w:val="007342BE"/>
    <w:rsid w:val="007359A7"/>
    <w:rsid w:val="00745468"/>
    <w:rsid w:val="00747869"/>
    <w:rsid w:val="00773E89"/>
    <w:rsid w:val="007914E3"/>
    <w:rsid w:val="007D7D62"/>
    <w:rsid w:val="00803A65"/>
    <w:rsid w:val="00806503"/>
    <w:rsid w:val="00817336"/>
    <w:rsid w:val="008A548A"/>
    <w:rsid w:val="008C4CCA"/>
    <w:rsid w:val="00900904"/>
    <w:rsid w:val="00947C42"/>
    <w:rsid w:val="009B22E7"/>
    <w:rsid w:val="009C7092"/>
    <w:rsid w:val="009F19B7"/>
    <w:rsid w:val="00A05573"/>
    <w:rsid w:val="00A15098"/>
    <w:rsid w:val="00A22EEB"/>
    <w:rsid w:val="00A64AEE"/>
    <w:rsid w:val="00A72D51"/>
    <w:rsid w:val="00AE1CEF"/>
    <w:rsid w:val="00B32394"/>
    <w:rsid w:val="00B9267D"/>
    <w:rsid w:val="00B94162"/>
    <w:rsid w:val="00C0520E"/>
    <w:rsid w:val="00C2207D"/>
    <w:rsid w:val="00C56784"/>
    <w:rsid w:val="00C60B6B"/>
    <w:rsid w:val="00C75C30"/>
    <w:rsid w:val="00C93B9C"/>
    <w:rsid w:val="00C94398"/>
    <w:rsid w:val="00CC0427"/>
    <w:rsid w:val="00CF17CA"/>
    <w:rsid w:val="00CF28A9"/>
    <w:rsid w:val="00D42A4C"/>
    <w:rsid w:val="00DB78BF"/>
    <w:rsid w:val="00DF1577"/>
    <w:rsid w:val="00E23DF7"/>
    <w:rsid w:val="00EA2269"/>
    <w:rsid w:val="00F37A4F"/>
    <w:rsid w:val="00FD0525"/>
    <w:rsid w:val="00FD3EAC"/>
    <w:rsid w:val="04494B2A"/>
    <w:rsid w:val="063601D4"/>
    <w:rsid w:val="08D4742C"/>
    <w:rsid w:val="094D00F4"/>
    <w:rsid w:val="0BEB7177"/>
    <w:rsid w:val="0FFF8DDE"/>
    <w:rsid w:val="10D247F6"/>
    <w:rsid w:val="12DB7221"/>
    <w:rsid w:val="12E52F16"/>
    <w:rsid w:val="12F23AED"/>
    <w:rsid w:val="12FE41B6"/>
    <w:rsid w:val="15FF18F4"/>
    <w:rsid w:val="16230160"/>
    <w:rsid w:val="18012FAA"/>
    <w:rsid w:val="19135033"/>
    <w:rsid w:val="196C6326"/>
    <w:rsid w:val="19B11946"/>
    <w:rsid w:val="1A0A3D06"/>
    <w:rsid w:val="1ADF9473"/>
    <w:rsid w:val="1B722B14"/>
    <w:rsid w:val="1BB321B9"/>
    <w:rsid w:val="1C202DDD"/>
    <w:rsid w:val="1FFB6DC9"/>
    <w:rsid w:val="20161CDA"/>
    <w:rsid w:val="208576F8"/>
    <w:rsid w:val="20B06DD3"/>
    <w:rsid w:val="22406F57"/>
    <w:rsid w:val="231E77CA"/>
    <w:rsid w:val="24001A75"/>
    <w:rsid w:val="244E7833"/>
    <w:rsid w:val="2549009D"/>
    <w:rsid w:val="262B713C"/>
    <w:rsid w:val="26BB452E"/>
    <w:rsid w:val="270F3EC2"/>
    <w:rsid w:val="27AC60F5"/>
    <w:rsid w:val="2ABA2CCB"/>
    <w:rsid w:val="2BB50367"/>
    <w:rsid w:val="2CE834B6"/>
    <w:rsid w:val="2CF11A39"/>
    <w:rsid w:val="2D703D3E"/>
    <w:rsid w:val="2DF718AE"/>
    <w:rsid w:val="2E0C18E8"/>
    <w:rsid w:val="2E8028BB"/>
    <w:rsid w:val="2E8B6854"/>
    <w:rsid w:val="2EC75194"/>
    <w:rsid w:val="30045D04"/>
    <w:rsid w:val="312F75DA"/>
    <w:rsid w:val="31B8AB9C"/>
    <w:rsid w:val="3214538B"/>
    <w:rsid w:val="322F3459"/>
    <w:rsid w:val="32CE12CC"/>
    <w:rsid w:val="32FF65DF"/>
    <w:rsid w:val="3319091E"/>
    <w:rsid w:val="33532DFD"/>
    <w:rsid w:val="345E2581"/>
    <w:rsid w:val="35445E87"/>
    <w:rsid w:val="354B7F1C"/>
    <w:rsid w:val="39EE3867"/>
    <w:rsid w:val="3A214A61"/>
    <w:rsid w:val="3BE73DF7"/>
    <w:rsid w:val="3BEF3E66"/>
    <w:rsid w:val="3E856C92"/>
    <w:rsid w:val="3EBDD97B"/>
    <w:rsid w:val="3F3B47A6"/>
    <w:rsid w:val="407F19D9"/>
    <w:rsid w:val="40CB12E9"/>
    <w:rsid w:val="413E144A"/>
    <w:rsid w:val="41791AB5"/>
    <w:rsid w:val="438C2802"/>
    <w:rsid w:val="45D638B2"/>
    <w:rsid w:val="47D604EF"/>
    <w:rsid w:val="47F210A1"/>
    <w:rsid w:val="47FE1F35"/>
    <w:rsid w:val="4AE20775"/>
    <w:rsid w:val="4B5F55FE"/>
    <w:rsid w:val="4B6250CA"/>
    <w:rsid w:val="4BEE0BE3"/>
    <w:rsid w:val="4BF7F257"/>
    <w:rsid w:val="4D9D1CEF"/>
    <w:rsid w:val="4DE4148C"/>
    <w:rsid w:val="4F7E7F78"/>
    <w:rsid w:val="51E05731"/>
    <w:rsid w:val="524A3FB4"/>
    <w:rsid w:val="548E1678"/>
    <w:rsid w:val="55B32AE8"/>
    <w:rsid w:val="55BF2D98"/>
    <w:rsid w:val="55DB4071"/>
    <w:rsid w:val="57686BC8"/>
    <w:rsid w:val="58EC4FD2"/>
    <w:rsid w:val="59084B5F"/>
    <w:rsid w:val="59FFF2DE"/>
    <w:rsid w:val="5A7A2F5C"/>
    <w:rsid w:val="5ADD240D"/>
    <w:rsid w:val="5B324B1C"/>
    <w:rsid w:val="5B63D401"/>
    <w:rsid w:val="5B766B50"/>
    <w:rsid w:val="5BDFE6D8"/>
    <w:rsid w:val="5BED990A"/>
    <w:rsid w:val="5C5439EC"/>
    <w:rsid w:val="5C8D3C42"/>
    <w:rsid w:val="5D0D1793"/>
    <w:rsid w:val="5D2239A0"/>
    <w:rsid w:val="5D3B1FFC"/>
    <w:rsid w:val="5DD62E92"/>
    <w:rsid w:val="5EBFDAFD"/>
    <w:rsid w:val="5F39CDDD"/>
    <w:rsid w:val="5F776B29"/>
    <w:rsid w:val="5FBFFB30"/>
    <w:rsid w:val="5FED564A"/>
    <w:rsid w:val="5FFFD37A"/>
    <w:rsid w:val="63A3644D"/>
    <w:rsid w:val="64C37BF6"/>
    <w:rsid w:val="6570115F"/>
    <w:rsid w:val="67920D5D"/>
    <w:rsid w:val="685F1F88"/>
    <w:rsid w:val="68765D19"/>
    <w:rsid w:val="68CD6997"/>
    <w:rsid w:val="68F96E37"/>
    <w:rsid w:val="695047CD"/>
    <w:rsid w:val="698260C6"/>
    <w:rsid w:val="6ADF3CA9"/>
    <w:rsid w:val="6BBD0A11"/>
    <w:rsid w:val="6BE23524"/>
    <w:rsid w:val="6BEA7EAD"/>
    <w:rsid w:val="6D4F54CB"/>
    <w:rsid w:val="6D7B60F7"/>
    <w:rsid w:val="6DBF5E8D"/>
    <w:rsid w:val="70BC7358"/>
    <w:rsid w:val="71BE5202"/>
    <w:rsid w:val="732D71F8"/>
    <w:rsid w:val="738A7BC3"/>
    <w:rsid w:val="73F76249"/>
    <w:rsid w:val="74FFD8A5"/>
    <w:rsid w:val="755D3068"/>
    <w:rsid w:val="762027B2"/>
    <w:rsid w:val="763145F0"/>
    <w:rsid w:val="7654465A"/>
    <w:rsid w:val="771F43C6"/>
    <w:rsid w:val="775A66BB"/>
    <w:rsid w:val="776B5CAF"/>
    <w:rsid w:val="778A47B8"/>
    <w:rsid w:val="778B4726"/>
    <w:rsid w:val="78E4356F"/>
    <w:rsid w:val="78FF7D5C"/>
    <w:rsid w:val="79131C5B"/>
    <w:rsid w:val="7AFF6E02"/>
    <w:rsid w:val="7B7B6E75"/>
    <w:rsid w:val="7BFC4332"/>
    <w:rsid w:val="7BFFB384"/>
    <w:rsid w:val="7C3D3E57"/>
    <w:rsid w:val="7D483351"/>
    <w:rsid w:val="7DBF35D1"/>
    <w:rsid w:val="7F3F6C68"/>
    <w:rsid w:val="7F5B03AA"/>
    <w:rsid w:val="7F8A4C60"/>
    <w:rsid w:val="7FC7F20D"/>
    <w:rsid w:val="7FD337CE"/>
    <w:rsid w:val="9794C651"/>
    <w:rsid w:val="98DFC16B"/>
    <w:rsid w:val="98F9A8D4"/>
    <w:rsid w:val="9BFE5E1D"/>
    <w:rsid w:val="ADAB84D5"/>
    <w:rsid w:val="B7ED9D4F"/>
    <w:rsid w:val="BEAA5907"/>
    <w:rsid w:val="CBFF37A0"/>
    <w:rsid w:val="CE772B1F"/>
    <w:rsid w:val="CFDF82F5"/>
    <w:rsid w:val="CFE0C9BA"/>
    <w:rsid w:val="D3FBD356"/>
    <w:rsid w:val="D7F50023"/>
    <w:rsid w:val="DB5F556C"/>
    <w:rsid w:val="DDF6D288"/>
    <w:rsid w:val="DEBB0AA3"/>
    <w:rsid w:val="DFFFE12A"/>
    <w:rsid w:val="E77F0447"/>
    <w:rsid w:val="EA3B144D"/>
    <w:rsid w:val="ECDBA123"/>
    <w:rsid w:val="EDB7D8A3"/>
    <w:rsid w:val="EDDDF0C3"/>
    <w:rsid w:val="EF6E346D"/>
    <w:rsid w:val="F3B90023"/>
    <w:rsid w:val="F5FFB78A"/>
    <w:rsid w:val="F7D9B4E9"/>
    <w:rsid w:val="F7E54276"/>
    <w:rsid w:val="F9CB3FED"/>
    <w:rsid w:val="FDBD5EE8"/>
    <w:rsid w:val="FDDF968C"/>
    <w:rsid w:val="FDE715A1"/>
    <w:rsid w:val="FE278ED7"/>
    <w:rsid w:val="FEBD277F"/>
    <w:rsid w:val="FFAF3935"/>
    <w:rsid w:val="FFCE9D63"/>
    <w:rsid w:val="FFEE8D4A"/>
    <w:rsid w:val="FFFC3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paragraph" w:styleId="7">
    <w:name w:val="annotation text"/>
    <w:basedOn w:val="1"/>
    <w:link w:val="26"/>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25"/>
    <w:qFormat/>
    <w:uiPriority w:val="0"/>
    <w:rPr>
      <w:sz w:val="18"/>
      <w:szCs w:val="18"/>
    </w:rPr>
  </w:style>
  <w:style w:type="paragraph" w:styleId="10">
    <w:name w:val="footer"/>
    <w:basedOn w:val="1"/>
    <w:next w:val="1"/>
    <w:unhideWhenUsed/>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pPr>
      <w:tabs>
        <w:tab w:val="left" w:pos="1050"/>
        <w:tab w:val="right" w:leader="dot" w:pos="8296"/>
      </w:tabs>
      <w:spacing w:after="200" w:line="300" w:lineRule="auto"/>
      <w:jc w:val="center"/>
    </w:pPr>
    <w:rPr>
      <w:rFonts w:ascii="仿宋" w:hAnsi="仿宋" w:eastAsia="仿宋" w:cs="Times New Roman"/>
      <w:b/>
      <w:sz w:val="32"/>
      <w:szCs w:val="28"/>
    </w:rPr>
  </w:style>
  <w:style w:type="paragraph" w:styleId="13">
    <w:name w:val="toc 2"/>
    <w:basedOn w:val="1"/>
    <w:next w:val="1"/>
    <w:unhideWhenUsed/>
    <w:qFormat/>
    <w:uiPriority w:val="39"/>
    <w:pPr>
      <w:widowControl/>
      <w:tabs>
        <w:tab w:val="right" w:leader="dot" w:pos="8296"/>
      </w:tabs>
      <w:spacing w:after="100" w:line="259" w:lineRule="auto"/>
      <w:ind w:left="220"/>
      <w:jc w:val="left"/>
    </w:pPr>
    <w:rPr>
      <w:rFonts w:ascii="仿宋" w:hAnsi="仿宋" w:eastAsia="仿宋" w:cs="Times New Roman"/>
      <w:b/>
      <w:bCs/>
      <w:kern w:val="0"/>
      <w:sz w:val="28"/>
      <w:szCs w:val="28"/>
    </w:rPr>
  </w:style>
  <w:style w:type="paragraph" w:styleId="14">
    <w:name w:val="Normal (Web)"/>
    <w:basedOn w:val="1"/>
    <w:qFormat/>
    <w:uiPriority w:val="0"/>
    <w:pPr>
      <w:jc w:val="left"/>
    </w:pPr>
    <w:rPr>
      <w:rFonts w:ascii="Calibri" w:hAnsi="Calibri" w:eastAsia="宋体" w:cs="Times New Roman"/>
      <w:kern w:val="0"/>
      <w:sz w:val="24"/>
      <w:szCs w:val="24"/>
    </w:rPr>
  </w:style>
  <w:style w:type="paragraph" w:styleId="15">
    <w:name w:val="annotation subject"/>
    <w:basedOn w:val="7"/>
    <w:next w:val="7"/>
    <w:link w:val="27"/>
    <w:qFormat/>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styleId="21">
    <w:name w:val="annotation reference"/>
    <w:basedOn w:val="18"/>
    <w:qFormat/>
    <w:uiPriority w:val="0"/>
    <w:rPr>
      <w:sz w:val="21"/>
      <w:szCs w:val="21"/>
    </w:rPr>
  </w:style>
  <w:style w:type="paragraph" w:customStyle="1" w:styleId="2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fontstyle21"/>
    <w:basedOn w:val="18"/>
    <w:qFormat/>
    <w:uiPriority w:val="0"/>
    <w:rPr>
      <w:rFonts w:hint="default" w:ascii="仿宋" w:hAnsi="仿宋"/>
      <w:color w:val="000000"/>
      <w:sz w:val="32"/>
      <w:szCs w:val="32"/>
    </w:rPr>
  </w:style>
  <w:style w:type="character" w:customStyle="1" w:styleId="24">
    <w:name w:val="标题 4 Char"/>
    <w:basedOn w:val="18"/>
    <w:link w:val="6"/>
    <w:qFormat/>
    <w:uiPriority w:val="9"/>
    <w:rPr>
      <w:rFonts w:asciiTheme="majorHAnsi" w:hAnsiTheme="majorHAnsi" w:eastAsiaTheme="majorEastAsia" w:cstheme="majorBidi"/>
      <w:b/>
      <w:bCs/>
      <w:sz w:val="28"/>
      <w:szCs w:val="28"/>
    </w:rPr>
  </w:style>
  <w:style w:type="character" w:customStyle="1" w:styleId="25">
    <w:name w:val="批注框文本 Char"/>
    <w:basedOn w:val="18"/>
    <w:link w:val="9"/>
    <w:qFormat/>
    <w:uiPriority w:val="0"/>
    <w:rPr>
      <w:rFonts w:asciiTheme="minorHAnsi" w:hAnsiTheme="minorHAnsi" w:eastAsiaTheme="minorEastAsia" w:cstheme="minorBidi"/>
      <w:kern w:val="2"/>
      <w:sz w:val="18"/>
      <w:szCs w:val="18"/>
    </w:rPr>
  </w:style>
  <w:style w:type="character" w:customStyle="1" w:styleId="26">
    <w:name w:val="批注文字 Char"/>
    <w:basedOn w:val="18"/>
    <w:link w:val="7"/>
    <w:qFormat/>
    <w:uiPriority w:val="0"/>
    <w:rPr>
      <w:rFonts w:asciiTheme="minorHAnsi" w:hAnsiTheme="minorHAnsi" w:eastAsiaTheme="minorEastAsia" w:cstheme="minorBidi"/>
      <w:kern w:val="2"/>
      <w:sz w:val="21"/>
      <w:szCs w:val="22"/>
    </w:rPr>
  </w:style>
  <w:style w:type="character" w:customStyle="1" w:styleId="27">
    <w:name w:val="批注主题 Char"/>
    <w:basedOn w:val="26"/>
    <w:link w:val="15"/>
    <w:qFormat/>
    <w:uiPriority w:val="0"/>
    <w:rPr>
      <w:rFonts w:asciiTheme="minorHAnsi" w:hAnsiTheme="minorHAnsi" w:eastAsiaTheme="minorEastAsia" w:cstheme="minorBidi"/>
      <w:b/>
      <w:bCs/>
      <w:kern w:val="2"/>
      <w:sz w:val="21"/>
      <w:szCs w:val="22"/>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tx>
                <c:rich>
                  <a:bodyPr rot="0" spcFirstLastPara="0" vertOverflow="ellipsis" vert="horz" wrap="square" lIns="38100" tIns="19050" rIns="38100" bIns="19050" anchor="b"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洮北区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60%</a:t>
                    </a:r>
                    <a:endParaRPr lang="en-US" altLang="zh-CN"/>
                  </a:p>
                </c:rich>
              </c:tx>
              <c:dLblPos val="out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b"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洮南市</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10%</a:t>
                    </a:r>
                    <a:endParaRPr lang="en-US" altLang="zh-CN"/>
                  </a:p>
                </c:rich>
              </c:tx>
              <c:dLblPos val="out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b"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通榆县</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zh-CN" altLang="en-US"/>
                      <a:t> </a:t>
                    </a:r>
                    <a:r>
                      <a:rPr lang="en-US" altLang="zh-CN"/>
                      <a:t>20%</a:t>
                    </a:r>
                    <a:endParaRPr lang="en-US" altLang="zh-CN"/>
                  </a:p>
                </c:rich>
              </c:tx>
              <c:dLblPos val="outEnd"/>
              <c:showLegendKey val="0"/>
              <c:showVal val="1"/>
              <c:showCatName val="0"/>
              <c:showSerName val="1"/>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b"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大安市</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zh-CN" altLang="en-US"/>
                      <a:t> </a:t>
                    </a:r>
                    <a:r>
                      <a:rPr lang="en-US" altLang="zh-CN"/>
                      <a:t>10%</a:t>
                    </a:r>
                    <a:endParaRPr lang="en-US" altLang="zh-CN"/>
                  </a:p>
                </c:rich>
              </c:tx>
              <c:dLblPos val="outEnd"/>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ext>
            </c:extLst>
          </c:dLbls>
          <c:cat>
            <c:strRef>
              <c:f>[工作簿1]Sheet1!$A$1:$D$1</c:f>
              <c:strCache>
                <c:ptCount val="4"/>
                <c:pt idx="0">
                  <c:v>洮北区</c:v>
                </c:pt>
                <c:pt idx="1">
                  <c:v>洮南市</c:v>
                </c:pt>
                <c:pt idx="2">
                  <c:v>通榆县</c:v>
                </c:pt>
                <c:pt idx="3">
                  <c:v>大安市</c:v>
                </c:pt>
              </c:strCache>
            </c:strRef>
          </c:cat>
          <c:val>
            <c:numRef>
              <c:f>[工作簿1]Sheet1!$A$2:$D$2</c:f>
              <c:numCache>
                <c:formatCode>General</c:formatCode>
                <c:ptCount val="4"/>
                <c:pt idx="0">
                  <c:v>6</c:v>
                </c:pt>
                <c:pt idx="1">
                  <c:v>1</c:v>
                </c:pt>
                <c:pt idx="2">
                  <c:v>2</c:v>
                </c:pt>
                <c:pt idx="3">
                  <c:v>1</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85714285714"/>
          <c:y val="0.0500600720865038"/>
          <c:w val="0.863818181818182"/>
          <c:h val="0.775810973167801"/>
        </c:manualLayout>
      </c:layout>
      <c:barChart>
        <c:barDir val="col"/>
        <c:grouping val="clustered"/>
        <c:varyColors val="0"/>
        <c:ser>
          <c:idx val="0"/>
          <c:order val="0"/>
          <c:spPr>
            <a:solidFill>
              <a:schemeClr val="accent1"/>
            </a:solidFill>
            <a:ln>
              <a:noFill/>
            </a:ln>
            <a:effectLst/>
          </c:spPr>
          <c:invertIfNegative val="0"/>
          <c:dLbls>
            <c:delete val="1"/>
          </c:dLbls>
          <c:cat>
            <c:strRef>
              <c:f>[工作簿1]Sheet1!$A$4:$A$6</c:f>
              <c:strCache>
                <c:ptCount val="3"/>
                <c:pt idx="0">
                  <c:v>2类</c:v>
                </c:pt>
                <c:pt idx="1">
                  <c:v>3类</c:v>
                </c:pt>
                <c:pt idx="2">
                  <c:v>9类</c:v>
                </c:pt>
              </c:strCache>
            </c:strRef>
          </c:cat>
          <c:val>
            <c:numRef>
              <c:f>[工作簿1]Sheet1!$B$4:$B$6</c:f>
              <c:numCache>
                <c:formatCode>General</c:formatCode>
                <c:ptCount val="3"/>
                <c:pt idx="0">
                  <c:v>8</c:v>
                </c:pt>
                <c:pt idx="1">
                  <c:v>4</c:v>
                </c:pt>
                <c:pt idx="2">
                  <c:v>1</c:v>
                </c:pt>
              </c:numCache>
            </c:numRef>
          </c:val>
        </c:ser>
        <c:dLbls>
          <c:showLegendKey val="0"/>
          <c:showVal val="0"/>
          <c:showCatName val="0"/>
          <c:showSerName val="0"/>
          <c:showPercent val="0"/>
          <c:showBubbleSize val="0"/>
        </c:dLbls>
        <c:gapWidth val="219"/>
        <c:overlap val="-27"/>
        <c:axId val="217165312"/>
        <c:axId val="216752128"/>
      </c:barChart>
      <c:catAx>
        <c:axId val="21716531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类别</a:t>
                </a:r>
              </a:p>
            </c:rich>
          </c:tx>
          <c:layout>
            <c:manualLayout>
              <c:xMode val="edge"/>
              <c:yMode val="edge"/>
              <c:x val="0.862958333333333"/>
              <c:y val="0.894444444444444"/>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6752128"/>
        <c:crosses val="autoZero"/>
        <c:auto val="1"/>
        <c:lblAlgn val="ctr"/>
        <c:lblOffset val="100"/>
        <c:noMultiLvlLbl val="0"/>
      </c:catAx>
      <c:valAx>
        <c:axId val="21675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0" vertOverflow="ellipsis" vert="eaVert"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企业数</a:t>
                </a:r>
              </a:p>
            </c:rich>
          </c:tx>
          <c:layout>
            <c:manualLayout>
              <c:xMode val="edge"/>
              <c:yMode val="edge"/>
              <c:x val="0.0222222222222222"/>
              <c:y val="0.0581767936338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716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950668037"/>
          <c:y val="0.0413145539906103"/>
          <c:w val="0.865287769784173"/>
          <c:h val="0.789746478873239"/>
        </c:manualLayout>
      </c:layout>
      <c:barChart>
        <c:barDir val="col"/>
        <c:grouping val="clustered"/>
        <c:varyColors val="0"/>
        <c:ser>
          <c:idx val="0"/>
          <c:order val="0"/>
          <c:tx>
            <c:strRef>
              <c:f>[工作簿1]Sheet1!$C$7</c:f>
              <c:strCache>
                <c:ptCount val="1"/>
                <c:pt idx="0">
                  <c:v>企业数</c:v>
                </c:pt>
              </c:strCache>
            </c:strRef>
          </c:tx>
          <c:spPr>
            <a:solidFill>
              <a:schemeClr val="accent1"/>
            </a:solidFill>
            <a:ln>
              <a:noFill/>
            </a:ln>
            <a:effectLst/>
          </c:spPr>
          <c:invertIfNegative val="0"/>
          <c:dLbls>
            <c:delete val="1"/>
          </c:dLbls>
          <c:cat>
            <c:strRef>
              <c:f>[工作簿1]Sheet1!$B$8:$B$10</c:f>
              <c:strCache>
                <c:ptCount val="3"/>
                <c:pt idx="0">
                  <c:v>1-5</c:v>
                </c:pt>
                <c:pt idx="1">
                  <c:v>6-9</c:v>
                </c:pt>
                <c:pt idx="2">
                  <c:v>10以上</c:v>
                </c:pt>
              </c:strCache>
            </c:strRef>
          </c:cat>
          <c:val>
            <c:numRef>
              <c:f>[工作簿1]Sheet1!$C$8:$C$10</c:f>
              <c:numCache>
                <c:formatCode>General</c:formatCode>
                <c:ptCount val="3"/>
                <c:pt idx="0">
                  <c:v>4</c:v>
                </c:pt>
                <c:pt idx="1">
                  <c:v>2</c:v>
                </c:pt>
                <c:pt idx="2">
                  <c:v>4</c:v>
                </c:pt>
              </c:numCache>
            </c:numRef>
          </c:val>
        </c:ser>
        <c:dLbls>
          <c:showLegendKey val="0"/>
          <c:showVal val="0"/>
          <c:showCatName val="0"/>
          <c:showSerName val="0"/>
          <c:showPercent val="0"/>
          <c:showBubbleSize val="0"/>
        </c:dLbls>
        <c:gapWidth val="219"/>
        <c:overlap val="-27"/>
        <c:axId val="217169920"/>
        <c:axId val="216752704"/>
      </c:barChart>
      <c:catAx>
        <c:axId val="217169920"/>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车辆数</a:t>
                </a:r>
                <a:endParaRPr lang="zh-CN" altLang="en-US"/>
              </a:p>
            </c:rich>
          </c:tx>
          <c:layout>
            <c:manualLayout>
              <c:xMode val="edge"/>
              <c:yMode val="edge"/>
              <c:x val="0.86334789311408"/>
              <c:y val="0.905915492957746"/>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6752704"/>
        <c:crosses val="autoZero"/>
        <c:auto val="1"/>
        <c:lblAlgn val="ctr"/>
        <c:lblOffset val="100"/>
        <c:noMultiLvlLbl val="0"/>
      </c:catAx>
      <c:valAx>
        <c:axId val="216752704"/>
        <c:scaling>
          <c:orientation val="minMax"/>
          <c:max val="5"/>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0" vertOverflow="ellipsis" vert="eaVert"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企业数</a:t>
                </a:r>
                <a:endParaRPr lang="zh-CN" altLang="en-US"/>
              </a:p>
            </c:rich>
          </c:tx>
          <c:layout>
            <c:manualLayout>
              <c:xMode val="edge"/>
              <c:yMode val="edge"/>
              <c:x val="0.0167009249743063"/>
              <c:y val="0.132525821596244"/>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716992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洮北区</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67%</a:t>
                    </a:r>
                    <a:endParaRPr lang="en-US" altLang="zh-CN"/>
                  </a:p>
                </c:rich>
              </c:tx>
              <c:dLblPos val="out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洮南市</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5%</a:t>
                    </a:r>
                    <a:endParaRPr lang="en-US" altLang="zh-CN"/>
                  </a:p>
                </c:rich>
              </c:tx>
              <c:dLblPos val="out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通榆县</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23%</a:t>
                    </a:r>
                    <a:endParaRPr lang="en-US" altLang="zh-CN"/>
                  </a:p>
                </c:rich>
              </c:tx>
              <c:dLblPos val="outEnd"/>
              <c:showLegendKey val="0"/>
              <c:showVal val="0"/>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a:t>大安市</a:t>
                    </a:r>
                    <a:endParaRPr lang="zh-CN" altLang="en-US"/>
                  </a:p>
                  <a:p>
                    <a:pPr>
                      <a:defRPr lang="zh-CN" sz="900" b="0" i="0" u="none" strike="noStrike" kern="1200" baseline="0">
                        <a:solidFill>
                          <a:schemeClr val="tx1">
                            <a:lumMod val="75000"/>
                            <a:lumOff val="25000"/>
                          </a:schemeClr>
                        </a:solidFill>
                        <a:latin typeface="+mn-lt"/>
                        <a:ea typeface="+mn-ea"/>
                        <a:cs typeface="+mn-cs"/>
                      </a:defRPr>
                    </a:pPr>
                    <a:r>
                      <a:rPr lang="en-US" altLang="zh-CN"/>
                      <a:t>5%</a:t>
                    </a:r>
                    <a:endParaRPr lang="en-US" altLang="zh-CN"/>
                  </a:p>
                </c:rich>
              </c:tx>
              <c:dLblPos val="out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[工作簿1]Sheet1!$A$36:$E$36</c:f>
              <c:strCache>
                <c:ptCount val="4"/>
                <c:pt idx="0">
                  <c:v>洮北区</c:v>
                </c:pt>
                <c:pt idx="1">
                  <c:v>洮南市</c:v>
                </c:pt>
                <c:pt idx="2">
                  <c:v>通榆县</c:v>
                </c:pt>
                <c:pt idx="3">
                  <c:v>大安市</c:v>
                </c:pt>
              </c:strCache>
            </c:strRef>
          </c:cat>
          <c:val>
            <c:numRef>
              <c:f>Sheet1!$A$37:$E$37</c:f>
              <c:numCache>
                <c:formatCode>General</c:formatCode>
                <c:ptCount val="4"/>
                <c:pt idx="0">
                  <c:v>63</c:v>
                </c:pt>
                <c:pt idx="1">
                  <c:v>5</c:v>
                </c:pt>
                <c:pt idx="2">
                  <c:v>22</c:v>
                </c:pt>
                <c:pt idx="3">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21418</Words>
  <Characters>22893</Characters>
  <Lines>187</Lines>
  <Paragraphs>52</Paragraphs>
  <TotalTime>5</TotalTime>
  <ScaleCrop>false</ScaleCrop>
  <LinksUpToDate>false</LinksUpToDate>
  <CharactersWithSpaces>24083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2023-01-09T01:47:00Z</dcterms:created>
  <dc:creator>小  秋</dc:creator>
  <cp:lastModifiedBy>!!!!</cp:lastModifiedBy>
  <cp:lastPrinted>2023-04-28T23:23:00Z</cp:lastPrinted>
  <dcterms:modified xsi:type="dcterms:W3CDTF">2023-05-05T08:56:07Z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E01BBB0FEFAA4A18881257F13BD52A08_13</vt:lpwstr>
  </property>
</Properties>
</file>