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50" w:lineRule="exact"/>
        <w:ind w:left="0" w:leftChars="0" w:firstLine="0" w:firstLineChars="0"/>
        <w:jc w:val="center"/>
        <w:textAlignment w:val="auto"/>
        <w:rPr>
          <w:rFonts w:hint="default" w:ascii="FreeSerif" w:hAnsi="FreeSerif" w:eastAsia="方正小标宋_GBK" w:cs="FreeSerif"/>
          <w:sz w:val="44"/>
          <w:szCs w:val="44"/>
        </w:rPr>
      </w:pP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0" w:firstLineChars="0"/>
        <w:jc w:val="both"/>
        <w:rPr>
          <w:rFonts w:hint="default" w:ascii="FreeSerif" w:hAnsi="FreeSerif" w:eastAsia="方正小标宋_GBK" w:cs="FreeSerif"/>
          <w:snapToGrid/>
          <w:spacing w:val="0"/>
          <w:kern w:val="2"/>
          <w:sz w:val="44"/>
          <w:szCs w:val="44"/>
          <w:lang w:val="en-US" w:eastAsia="zh-CN" w:bidi="ar"/>
        </w:rPr>
      </w:pP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0" w:firstLineChars="0"/>
        <w:jc w:val="center"/>
        <w:rPr>
          <w:rFonts w:hint="default" w:ascii="FreeSerif" w:hAnsi="FreeSerif" w:eastAsia="方正小标宋_GBK" w:cs="FreeSerif"/>
          <w:snapToGrid/>
          <w:spacing w:val="0"/>
          <w:kern w:val="2"/>
          <w:sz w:val="44"/>
          <w:szCs w:val="44"/>
          <w:lang w:val="en-US" w:eastAsia="zh-CN" w:bidi="ar"/>
        </w:rPr>
      </w:pP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0" w:firstLineChars="0"/>
        <w:jc w:val="center"/>
        <w:rPr>
          <w:rFonts w:hint="default" w:ascii="FreeSerif" w:hAnsi="FreeSerif" w:eastAsia="方正小标宋_GBK" w:cs="FreeSerif"/>
          <w:snapToGrid/>
          <w:spacing w:val="0"/>
          <w:kern w:val="2"/>
          <w:sz w:val="44"/>
          <w:szCs w:val="44"/>
          <w:lang w:val="en-US" w:eastAsia="zh-CN" w:bidi="ar"/>
        </w:rPr>
      </w:pP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0" w:firstLineChars="0"/>
        <w:jc w:val="center"/>
        <w:rPr>
          <w:rFonts w:hint="default" w:ascii="FreeSerif" w:hAnsi="FreeSerif" w:eastAsia="方正小标宋_GBK" w:cs="FreeSerif"/>
          <w:snapToGrid/>
          <w:spacing w:val="0"/>
          <w:kern w:val="2"/>
          <w:sz w:val="44"/>
          <w:szCs w:val="44"/>
          <w:lang w:val="en-US" w:eastAsia="zh-CN" w:bidi="ar"/>
        </w:rPr>
      </w:pP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0" w:firstLineChars="0"/>
        <w:jc w:val="center"/>
        <w:rPr>
          <w:rFonts w:hint="default" w:ascii="FreeSerif" w:hAnsi="FreeSerif" w:eastAsia="方正小标宋_GBK" w:cs="FreeSerif"/>
          <w:spacing w:val="0"/>
          <w:kern w:val="2"/>
          <w:sz w:val="44"/>
          <w:szCs w:val="44"/>
        </w:rPr>
      </w:pPr>
      <w:r>
        <w:rPr>
          <w:rFonts w:hint="default" w:ascii="FreeSerif" w:hAnsi="FreeSerif" w:eastAsia="方正小标宋_GBK" w:cs="FreeSerif"/>
          <w:snapToGrid/>
          <w:spacing w:val="0"/>
          <w:kern w:val="2"/>
          <w:sz w:val="44"/>
          <w:szCs w:val="44"/>
          <w:lang w:val="en-US" w:eastAsia="zh-CN" w:bidi="ar"/>
        </w:rPr>
        <w:t>白城</w:t>
      </w:r>
      <w:r>
        <w:rPr>
          <w:rFonts w:hint="eastAsia" w:ascii="方正小标宋_GBK" w:hAnsi="方正小标宋_GBK" w:eastAsia="方正小标宋_GBK" w:cs="方正小标宋_GBK"/>
          <w:snapToGrid/>
          <w:spacing w:val="0"/>
          <w:kern w:val="2"/>
          <w:sz w:val="44"/>
          <w:szCs w:val="44"/>
          <w:lang w:val="en-US" w:eastAsia="zh-CN" w:bidi="ar"/>
        </w:rPr>
        <w:t>市“十四五”</w:t>
      </w:r>
      <w:r>
        <w:rPr>
          <w:rFonts w:hint="default" w:ascii="FreeSerif" w:hAnsi="FreeSerif" w:eastAsia="方正小标宋_GBK" w:cs="FreeSerif"/>
          <w:snapToGrid/>
          <w:spacing w:val="0"/>
          <w:kern w:val="2"/>
          <w:sz w:val="44"/>
          <w:szCs w:val="44"/>
          <w:lang w:val="en-US" w:eastAsia="zh-CN" w:bidi="ar"/>
        </w:rPr>
        <w:t>土壤、地下水和农村</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0" w:firstLineChars="0"/>
        <w:jc w:val="center"/>
        <w:rPr>
          <w:rFonts w:hint="default" w:ascii="FreeSerif" w:hAnsi="FreeSerif" w:eastAsia="方正小标宋_GBK" w:cs="FreeSerif"/>
          <w:spacing w:val="0"/>
          <w:kern w:val="2"/>
          <w:sz w:val="44"/>
          <w:szCs w:val="44"/>
        </w:rPr>
      </w:pPr>
      <w:r>
        <w:rPr>
          <w:rFonts w:hint="default" w:ascii="FreeSerif" w:hAnsi="FreeSerif" w:eastAsia="方正小标宋_GBK" w:cs="FreeSerif"/>
          <w:snapToGrid/>
          <w:spacing w:val="0"/>
          <w:kern w:val="2"/>
          <w:sz w:val="44"/>
          <w:szCs w:val="44"/>
          <w:lang w:val="en-US" w:eastAsia="zh-CN" w:bidi="ar"/>
        </w:rPr>
        <w:t>生态环境保护规划</w:t>
      </w:r>
    </w:p>
    <w:p>
      <w:pPr>
        <w:rPr>
          <w:rFonts w:hint="default" w:ascii="FreeSerif" w:hAnsi="FreeSerif" w:cs="FreeSerif"/>
        </w:rPr>
      </w:pPr>
    </w:p>
    <w:p>
      <w:pPr>
        <w:pStyle w:val="3"/>
        <w:rPr>
          <w:rFonts w:hint="default" w:ascii="FreeSerif" w:hAnsi="FreeSerif" w:cs="FreeSerif"/>
        </w:rPr>
      </w:pPr>
    </w:p>
    <w:p>
      <w:pPr>
        <w:rPr>
          <w:rFonts w:hint="default" w:ascii="FreeSerif" w:hAnsi="FreeSerif" w:cs="FreeSerif"/>
        </w:rPr>
      </w:pPr>
    </w:p>
    <w:p>
      <w:pPr>
        <w:pStyle w:val="3"/>
        <w:rPr>
          <w:rFonts w:hint="default" w:ascii="FreeSerif" w:hAnsi="FreeSerif" w:cs="FreeSerif"/>
        </w:rPr>
      </w:pPr>
    </w:p>
    <w:p>
      <w:pPr>
        <w:rPr>
          <w:rFonts w:hint="default" w:ascii="FreeSerif" w:hAnsi="FreeSerif" w:cs="FreeSerif"/>
        </w:rPr>
      </w:pPr>
    </w:p>
    <w:p>
      <w:pPr>
        <w:pStyle w:val="3"/>
        <w:rPr>
          <w:rFonts w:hint="default" w:ascii="FreeSerif" w:hAnsi="FreeSerif" w:cs="FreeSerif"/>
        </w:rPr>
      </w:pPr>
    </w:p>
    <w:p>
      <w:pPr>
        <w:rPr>
          <w:rFonts w:hint="default" w:ascii="FreeSerif" w:hAnsi="FreeSerif" w:cs="FreeSerif"/>
        </w:rPr>
      </w:pPr>
    </w:p>
    <w:p>
      <w:pPr>
        <w:pStyle w:val="3"/>
        <w:rPr>
          <w:rFonts w:hint="default" w:ascii="FreeSerif" w:hAnsi="FreeSerif" w:cs="FreeSerif"/>
        </w:rPr>
      </w:pPr>
    </w:p>
    <w:p>
      <w:pPr>
        <w:rPr>
          <w:rFonts w:hint="default" w:ascii="FreeSerif" w:hAnsi="FreeSerif" w:cs="FreeSerif"/>
        </w:rPr>
      </w:pPr>
    </w:p>
    <w:p>
      <w:pPr>
        <w:pStyle w:val="3"/>
        <w:rPr>
          <w:rFonts w:hint="default" w:ascii="FreeSerif" w:hAnsi="FreeSerif" w:cs="FreeSerif"/>
        </w:rPr>
      </w:pPr>
    </w:p>
    <w:p>
      <w:pPr>
        <w:rPr>
          <w:rFonts w:hint="default" w:ascii="FreeSerif" w:hAnsi="FreeSerif" w:cs="FreeSerif"/>
        </w:rPr>
      </w:pPr>
    </w:p>
    <w:p>
      <w:pPr>
        <w:pStyle w:val="3"/>
        <w:rPr>
          <w:rFonts w:hint="default" w:ascii="FreeSerif" w:hAnsi="FreeSerif" w:cs="FreeSerif"/>
        </w:rPr>
      </w:pPr>
    </w:p>
    <w:p>
      <w:pPr>
        <w:rPr>
          <w:rFonts w:hint="default" w:ascii="FreeSerif" w:hAnsi="FreeSerif" w:cs="FreeSerif"/>
        </w:rPr>
      </w:pPr>
    </w:p>
    <w:p>
      <w:pPr>
        <w:pStyle w:val="3"/>
        <w:rPr>
          <w:rFonts w:hint="default" w:ascii="FreeSerif" w:hAnsi="FreeSerif" w:cs="FreeSerif"/>
        </w:rPr>
      </w:pPr>
    </w:p>
    <w:p>
      <w:pPr>
        <w:rPr>
          <w:rFonts w:hint="default" w:ascii="FreeSerif" w:hAnsi="FreeSerif" w:cs="FreeSerif"/>
        </w:rPr>
      </w:pPr>
    </w:p>
    <w:p>
      <w:pPr>
        <w:pStyle w:val="3"/>
        <w:rPr>
          <w:rFonts w:hint="default" w:ascii="FreeSerif" w:hAnsi="FreeSerif" w:cs="FreeSerif"/>
        </w:rPr>
      </w:pPr>
    </w:p>
    <w:p>
      <w:pPr>
        <w:pageBreakBefore w:val="0"/>
        <w:kinsoku/>
        <w:topLinePunct w:val="0"/>
        <w:autoSpaceDE/>
        <w:autoSpaceDN/>
        <w:bidi w:val="0"/>
        <w:spacing w:line="578" w:lineRule="exact"/>
        <w:ind w:left="0" w:leftChars="0" w:firstLine="0" w:firstLineChars="0"/>
        <w:jc w:val="center"/>
        <w:textAlignment w:val="auto"/>
        <w:outlineLvl w:val="9"/>
        <w:rPr>
          <w:rFonts w:hint="default" w:ascii="FreeSerif" w:hAnsi="FreeSerif" w:eastAsia="方正小标宋_GBK" w:cs="FreeSerif"/>
          <w:b w:val="0"/>
          <w:bCs w:val="0"/>
          <w:color w:val="auto"/>
          <w:sz w:val="36"/>
          <w:szCs w:val="36"/>
          <w:lang w:val="en-US" w:eastAsia="zh-CN"/>
        </w:rPr>
      </w:pPr>
      <w:r>
        <w:rPr>
          <w:rFonts w:hint="default" w:ascii="FreeSerif" w:hAnsi="FreeSerif" w:eastAsia="方正小标宋_GBK" w:cs="FreeSerif"/>
          <w:b w:val="0"/>
          <w:bCs w:val="0"/>
          <w:color w:val="auto"/>
          <w:sz w:val="36"/>
          <w:szCs w:val="36"/>
          <w:lang w:val="en-US" w:eastAsia="zh-CN"/>
        </w:rPr>
        <w:t>2023.04</w:t>
      </w:r>
    </w:p>
    <w:p>
      <w:pPr>
        <w:rPr>
          <w:rFonts w:hint="default" w:ascii="FreeSerif" w:hAnsi="FreeSerif" w:cs="FreeSerif"/>
        </w:rPr>
        <w:sectPr>
          <w:headerReference r:id="rId4" w:type="first"/>
          <w:footerReference r:id="rId6" w:type="first"/>
          <w:headerReference r:id="rId3" w:type="default"/>
          <w:footerReference r:id="rId5" w:type="default"/>
          <w:pgSz w:w="11900" w:h="16821"/>
          <w:pgMar w:top="2041" w:right="1531" w:bottom="2041" w:left="1531" w:header="850" w:footer="1672" w:gutter="0"/>
          <w:pgNumType w:fmt="decimal" w:start="1"/>
          <w:cols w:space="720" w:num="1"/>
          <w:titlePg/>
          <w:rtlGutter w:val="0"/>
          <w:docGrid w:linePitch="332" w:charSpace="0"/>
        </w:sectPr>
      </w:pPr>
    </w:p>
    <w:p>
      <w:pPr>
        <w:keepNext w:val="0"/>
        <w:keepLines w:val="0"/>
        <w:pageBreakBefore w:val="0"/>
        <w:widowControl w:val="0"/>
        <w:kinsoku/>
        <w:wordWrap/>
        <w:overflowPunct w:val="0"/>
        <w:topLinePunct w:val="0"/>
        <w:autoSpaceDE/>
        <w:autoSpaceDN/>
        <w:bidi w:val="0"/>
        <w:adjustRightInd w:val="0"/>
        <w:snapToGrid w:val="0"/>
        <w:spacing w:line="500" w:lineRule="exact"/>
        <w:jc w:val="center"/>
        <w:textAlignment w:val="auto"/>
        <w:outlineLvl w:val="9"/>
        <w:rPr>
          <w:rFonts w:hint="default" w:ascii="FreeSerif" w:hAnsi="FreeSerif" w:eastAsia="方正小标宋_GBK" w:cs="FreeSerif"/>
          <w:b w:val="0"/>
          <w:bCs w:val="0"/>
          <w:color w:val="auto"/>
          <w:sz w:val="44"/>
          <w:szCs w:val="44"/>
        </w:rPr>
      </w:pPr>
      <w:r>
        <w:rPr>
          <w:rFonts w:hint="default" w:ascii="FreeSerif" w:hAnsi="FreeSerif" w:eastAsia="方正小标宋_GBK" w:cs="FreeSerif"/>
          <w:b w:val="0"/>
          <w:bCs w:val="0"/>
          <w:color w:val="auto"/>
          <w:sz w:val="44"/>
          <w:szCs w:val="44"/>
          <w:lang w:val="zh-CN"/>
        </w:rPr>
        <w:t>目</w:t>
      </w:r>
      <w:r>
        <w:rPr>
          <w:rFonts w:hint="default" w:ascii="FreeSerif" w:hAnsi="FreeSerif" w:eastAsia="方正小标宋_GBK" w:cs="FreeSerif"/>
          <w:b w:val="0"/>
          <w:bCs w:val="0"/>
          <w:color w:val="auto"/>
          <w:sz w:val="44"/>
          <w:szCs w:val="44"/>
        </w:rPr>
        <w:t xml:space="preserve">  </w:t>
      </w:r>
      <w:r>
        <w:rPr>
          <w:rFonts w:hint="default" w:ascii="FreeSerif" w:hAnsi="FreeSerif" w:eastAsia="方正小标宋_GBK" w:cs="FreeSerif"/>
          <w:b w:val="0"/>
          <w:bCs w:val="0"/>
          <w:color w:val="auto"/>
          <w:sz w:val="44"/>
          <w:szCs w:val="44"/>
          <w:lang w:val="zh-CN"/>
        </w:rPr>
        <w:t>录</w:t>
      </w:r>
    </w:p>
    <w:p>
      <w:pPr>
        <w:pStyle w:val="8"/>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textAlignment w:val="auto"/>
        <w:rPr>
          <w:rFonts w:hint="default" w:ascii="FreeSerif" w:hAnsi="FreeSerif" w:eastAsia="方正仿宋_GBK" w:cs="FreeSerif"/>
          <w:b w:val="0"/>
          <w:bCs w:val="0"/>
          <w:color w:val="auto"/>
          <w:sz w:val="32"/>
          <w:szCs w:val="32"/>
        </w:rPr>
      </w:pPr>
    </w:p>
    <w:p>
      <w:pPr>
        <w:pStyle w:val="8"/>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textAlignment w:val="auto"/>
        <w:rPr>
          <w:rFonts w:hint="default" w:ascii="FreeSerif" w:hAnsi="FreeSerif" w:cs="FreeSerif"/>
          <w:b w:val="0"/>
          <w:bCs w:val="0"/>
          <w:sz w:val="28"/>
          <w:szCs w:val="28"/>
        </w:rPr>
      </w:pPr>
      <w:r>
        <w:rPr>
          <w:rFonts w:hint="default" w:ascii="FreeSerif" w:hAnsi="FreeSerif" w:eastAsia="方正仿宋_GBK" w:cs="FreeSerif"/>
          <w:b w:val="0"/>
          <w:bCs w:val="0"/>
          <w:color w:val="auto"/>
          <w:sz w:val="32"/>
          <w:szCs w:val="32"/>
        </w:rPr>
        <w:fldChar w:fldCharType="begin"/>
      </w:r>
      <w:r>
        <w:rPr>
          <w:rFonts w:hint="default" w:ascii="FreeSerif" w:hAnsi="FreeSerif" w:eastAsia="方正仿宋_GBK" w:cs="FreeSerif"/>
          <w:b w:val="0"/>
          <w:bCs w:val="0"/>
          <w:color w:val="auto"/>
          <w:sz w:val="32"/>
          <w:szCs w:val="32"/>
        </w:rPr>
        <w:instrText xml:space="preserve">TOC\o"1-3"\h\u</w:instrText>
      </w:r>
      <w:r>
        <w:rPr>
          <w:rFonts w:hint="default" w:ascii="FreeSerif" w:hAnsi="FreeSerif" w:eastAsia="方正仿宋_GBK" w:cs="FreeSerif"/>
          <w:b w:val="0"/>
          <w:bCs w:val="0"/>
          <w:color w:val="auto"/>
          <w:sz w:val="32"/>
          <w:szCs w:val="32"/>
        </w:rPr>
        <w:fldChar w:fldCharType="separate"/>
      </w:r>
      <w:r>
        <w:rPr>
          <w:rFonts w:hint="default" w:ascii="FreeSerif" w:hAnsi="FreeSerif" w:eastAsia="方正仿宋_GBK" w:cs="FreeSerif"/>
          <w:b w:val="0"/>
          <w:bCs w:val="0"/>
          <w:color w:val="auto"/>
          <w:sz w:val="28"/>
          <w:szCs w:val="28"/>
        </w:rPr>
        <w:fldChar w:fldCharType="begin"/>
      </w:r>
      <w:r>
        <w:rPr>
          <w:rFonts w:hint="default" w:ascii="FreeSerif" w:hAnsi="FreeSerif" w:eastAsia="方正仿宋_GBK" w:cs="FreeSerif"/>
          <w:b w:val="0"/>
          <w:bCs w:val="0"/>
          <w:sz w:val="28"/>
          <w:szCs w:val="28"/>
        </w:rPr>
        <w:instrText xml:space="preserve"> HYPERLINK \l _Toc297109207 </w:instrText>
      </w:r>
      <w:r>
        <w:rPr>
          <w:rFonts w:hint="default" w:ascii="FreeSerif" w:hAnsi="FreeSerif" w:eastAsia="方正仿宋_GBK" w:cs="FreeSerif"/>
          <w:b w:val="0"/>
          <w:bCs w:val="0"/>
          <w:sz w:val="28"/>
          <w:szCs w:val="28"/>
        </w:rPr>
        <w:fldChar w:fldCharType="separate"/>
      </w:r>
      <w:r>
        <w:rPr>
          <w:rFonts w:hint="default" w:ascii="FreeSerif" w:hAnsi="FreeSerif" w:eastAsia="方正黑体_GBK" w:cs="FreeSerif"/>
          <w:b w:val="0"/>
          <w:bCs w:val="0"/>
          <w:kern w:val="44"/>
          <w:sz w:val="28"/>
          <w:szCs w:val="28"/>
        </w:rPr>
        <w:t>前</w:t>
      </w:r>
      <w:r>
        <w:rPr>
          <w:rFonts w:hint="default" w:ascii="FreeSerif" w:hAnsi="FreeSerif" w:eastAsia="方正黑体_GBK" w:cs="FreeSerif"/>
          <w:b w:val="0"/>
          <w:bCs w:val="0"/>
          <w:kern w:val="44"/>
          <w:sz w:val="28"/>
          <w:szCs w:val="28"/>
          <w:lang w:val="en-US" w:eastAsia="zh-CN"/>
        </w:rPr>
        <w:t xml:space="preserve"> </w:t>
      </w:r>
      <w:r>
        <w:rPr>
          <w:rFonts w:hint="default" w:ascii="FreeSerif" w:hAnsi="FreeSerif" w:eastAsia="方正黑体_GBK" w:cs="FreeSerif"/>
          <w:b w:val="0"/>
          <w:bCs w:val="0"/>
          <w:kern w:val="44"/>
          <w:sz w:val="28"/>
          <w:szCs w:val="28"/>
        </w:rPr>
        <w:t>言</w:t>
      </w:r>
      <w:r>
        <w:rPr>
          <w:rFonts w:hint="default" w:ascii="FreeSerif" w:hAnsi="FreeSerif" w:cs="FreeSerif"/>
          <w:b w:val="0"/>
          <w:bCs w:val="0"/>
          <w:sz w:val="28"/>
          <w:szCs w:val="28"/>
        </w:rPr>
        <w:tab/>
      </w:r>
      <w:r>
        <w:rPr>
          <w:rFonts w:hint="default" w:ascii="FreeSerif" w:hAnsi="FreeSerif" w:cs="FreeSerif"/>
          <w:b w:val="0"/>
          <w:bCs w:val="0"/>
          <w:sz w:val="28"/>
          <w:szCs w:val="28"/>
        </w:rPr>
        <w:fldChar w:fldCharType="begin"/>
      </w:r>
      <w:r>
        <w:rPr>
          <w:rFonts w:hint="default" w:ascii="FreeSerif" w:hAnsi="FreeSerif" w:cs="FreeSerif"/>
          <w:b w:val="0"/>
          <w:bCs w:val="0"/>
          <w:sz w:val="28"/>
          <w:szCs w:val="28"/>
        </w:rPr>
        <w:instrText xml:space="preserve"> PAGEREF _Toc297109207 </w:instrText>
      </w:r>
      <w:r>
        <w:rPr>
          <w:rFonts w:hint="default" w:ascii="FreeSerif" w:hAnsi="FreeSerif" w:cs="FreeSerif"/>
          <w:b w:val="0"/>
          <w:bCs w:val="0"/>
          <w:sz w:val="28"/>
          <w:szCs w:val="28"/>
        </w:rPr>
        <w:fldChar w:fldCharType="separate"/>
      </w:r>
      <w:r>
        <w:rPr>
          <w:rFonts w:hint="default" w:ascii="FreeSerif" w:hAnsi="FreeSerif" w:cs="FreeSerif"/>
          <w:b w:val="0"/>
          <w:bCs w:val="0"/>
          <w:sz w:val="28"/>
          <w:szCs w:val="28"/>
        </w:rPr>
        <w:t>2</w:t>
      </w:r>
      <w:r>
        <w:rPr>
          <w:rFonts w:hint="default" w:ascii="FreeSerif" w:hAnsi="FreeSerif" w:cs="FreeSerif"/>
          <w:b w:val="0"/>
          <w:bCs w:val="0"/>
          <w:sz w:val="28"/>
          <w:szCs w:val="28"/>
        </w:rPr>
        <w:fldChar w:fldCharType="end"/>
      </w:r>
      <w:r>
        <w:rPr>
          <w:rFonts w:hint="default" w:ascii="FreeSerif" w:hAnsi="FreeSerif" w:eastAsia="方正仿宋_GBK" w:cs="FreeSerif"/>
          <w:b w:val="0"/>
          <w:bCs w:val="0"/>
          <w:color w:val="auto"/>
          <w:sz w:val="28"/>
          <w:szCs w:val="28"/>
        </w:rPr>
        <w:fldChar w:fldCharType="end"/>
      </w:r>
    </w:p>
    <w:p>
      <w:pPr>
        <w:pStyle w:val="8"/>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textAlignment w:val="auto"/>
        <w:rPr>
          <w:rFonts w:hint="default" w:ascii="FreeSerif" w:hAnsi="FreeSerif" w:cs="FreeSerif"/>
          <w:b w:val="0"/>
          <w:bCs w:val="0"/>
          <w:sz w:val="28"/>
          <w:szCs w:val="28"/>
        </w:rPr>
      </w:pPr>
      <w:r>
        <w:rPr>
          <w:rFonts w:hint="default" w:ascii="FreeSerif" w:hAnsi="FreeSerif" w:eastAsia="方正仿宋_GBK" w:cs="FreeSerif"/>
          <w:b w:val="0"/>
          <w:bCs w:val="0"/>
          <w:color w:val="auto"/>
          <w:sz w:val="28"/>
          <w:szCs w:val="28"/>
        </w:rPr>
        <w:fldChar w:fldCharType="begin"/>
      </w:r>
      <w:r>
        <w:rPr>
          <w:rFonts w:hint="default" w:ascii="FreeSerif" w:hAnsi="FreeSerif" w:eastAsia="方正仿宋_GBK" w:cs="FreeSerif"/>
          <w:b w:val="0"/>
          <w:bCs w:val="0"/>
          <w:sz w:val="28"/>
          <w:szCs w:val="28"/>
        </w:rPr>
        <w:instrText xml:space="preserve"> HYPERLINK \l _Toc2127126175 </w:instrText>
      </w:r>
      <w:r>
        <w:rPr>
          <w:rFonts w:hint="default" w:ascii="FreeSerif" w:hAnsi="FreeSerif" w:eastAsia="方正仿宋_GBK" w:cs="FreeSerif"/>
          <w:b w:val="0"/>
          <w:bCs w:val="0"/>
          <w:sz w:val="28"/>
          <w:szCs w:val="28"/>
        </w:rPr>
        <w:fldChar w:fldCharType="separate"/>
      </w:r>
      <w:r>
        <w:rPr>
          <w:rFonts w:hint="default" w:ascii="FreeSerif" w:hAnsi="FreeSerif" w:eastAsia="方正黑体_GBK" w:cs="FreeSerif"/>
          <w:b w:val="0"/>
          <w:bCs w:val="0"/>
          <w:kern w:val="44"/>
          <w:sz w:val="28"/>
          <w:szCs w:val="28"/>
        </w:rPr>
        <w:t>一、进展与形势</w:t>
      </w:r>
      <w:r>
        <w:rPr>
          <w:rFonts w:hint="default" w:ascii="FreeSerif" w:hAnsi="FreeSerif" w:cs="FreeSerif"/>
          <w:b w:val="0"/>
          <w:bCs w:val="0"/>
          <w:sz w:val="28"/>
          <w:szCs w:val="28"/>
        </w:rPr>
        <w:tab/>
      </w:r>
      <w:r>
        <w:rPr>
          <w:rFonts w:hint="default" w:ascii="FreeSerif" w:hAnsi="FreeSerif" w:cs="FreeSerif"/>
          <w:b w:val="0"/>
          <w:bCs w:val="0"/>
          <w:sz w:val="28"/>
          <w:szCs w:val="28"/>
        </w:rPr>
        <w:fldChar w:fldCharType="begin"/>
      </w:r>
      <w:r>
        <w:rPr>
          <w:rFonts w:hint="default" w:ascii="FreeSerif" w:hAnsi="FreeSerif" w:cs="FreeSerif"/>
          <w:b w:val="0"/>
          <w:bCs w:val="0"/>
          <w:sz w:val="28"/>
          <w:szCs w:val="28"/>
        </w:rPr>
        <w:instrText xml:space="preserve"> PAGEREF _Toc2127126175 </w:instrText>
      </w:r>
      <w:r>
        <w:rPr>
          <w:rFonts w:hint="default" w:ascii="FreeSerif" w:hAnsi="FreeSerif" w:cs="FreeSerif"/>
          <w:b w:val="0"/>
          <w:bCs w:val="0"/>
          <w:sz w:val="28"/>
          <w:szCs w:val="28"/>
        </w:rPr>
        <w:fldChar w:fldCharType="separate"/>
      </w:r>
      <w:r>
        <w:rPr>
          <w:rFonts w:hint="default" w:ascii="FreeSerif" w:hAnsi="FreeSerif" w:cs="FreeSerif"/>
          <w:b w:val="0"/>
          <w:bCs w:val="0"/>
          <w:sz w:val="28"/>
          <w:szCs w:val="28"/>
        </w:rPr>
        <w:t>2</w:t>
      </w:r>
      <w:r>
        <w:rPr>
          <w:rFonts w:hint="default" w:ascii="FreeSerif" w:hAnsi="FreeSerif" w:cs="FreeSerif"/>
          <w:b w:val="0"/>
          <w:bCs w:val="0"/>
          <w:sz w:val="28"/>
          <w:szCs w:val="28"/>
        </w:rPr>
        <w:fldChar w:fldCharType="end"/>
      </w:r>
      <w:r>
        <w:rPr>
          <w:rFonts w:hint="default" w:ascii="FreeSerif" w:hAnsi="FreeSerif" w:eastAsia="方正仿宋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_Toc1811061296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（一）工作进展</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_Toc1811061296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2</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_Toc473905068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（二）形势研判</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_Toc473905068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5</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8"/>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textAlignment w:val="auto"/>
        <w:rPr>
          <w:rFonts w:hint="default" w:ascii="FreeSerif" w:hAnsi="FreeSerif" w:cs="FreeSerif"/>
          <w:b w:val="0"/>
          <w:bCs w:val="0"/>
          <w:sz w:val="28"/>
          <w:szCs w:val="28"/>
        </w:rPr>
      </w:pPr>
      <w:r>
        <w:rPr>
          <w:rFonts w:hint="default" w:ascii="FreeSerif" w:hAnsi="FreeSerif" w:eastAsia="方正仿宋_GBK" w:cs="FreeSerif"/>
          <w:b w:val="0"/>
          <w:bCs w:val="0"/>
          <w:color w:val="auto"/>
          <w:sz w:val="28"/>
          <w:szCs w:val="28"/>
        </w:rPr>
        <w:fldChar w:fldCharType="begin"/>
      </w:r>
      <w:r>
        <w:rPr>
          <w:rFonts w:hint="default" w:ascii="FreeSerif" w:hAnsi="FreeSerif" w:eastAsia="方正仿宋_GBK" w:cs="FreeSerif"/>
          <w:b w:val="0"/>
          <w:bCs w:val="0"/>
          <w:sz w:val="28"/>
          <w:szCs w:val="28"/>
        </w:rPr>
        <w:instrText xml:space="preserve"> HYPERLINK \l _Toc1049120752 </w:instrText>
      </w:r>
      <w:r>
        <w:rPr>
          <w:rFonts w:hint="default" w:ascii="FreeSerif" w:hAnsi="FreeSerif" w:eastAsia="方正仿宋_GBK" w:cs="FreeSerif"/>
          <w:b w:val="0"/>
          <w:bCs w:val="0"/>
          <w:sz w:val="28"/>
          <w:szCs w:val="28"/>
        </w:rPr>
        <w:fldChar w:fldCharType="separate"/>
      </w:r>
      <w:r>
        <w:rPr>
          <w:rFonts w:hint="default" w:ascii="FreeSerif" w:hAnsi="FreeSerif" w:eastAsia="方正黑体_GBK" w:cs="FreeSerif"/>
          <w:b w:val="0"/>
          <w:bCs w:val="0"/>
          <w:kern w:val="44"/>
          <w:sz w:val="28"/>
          <w:szCs w:val="28"/>
        </w:rPr>
        <w:t>二、指导思想、基本原则、主要目标及防治重点</w:t>
      </w:r>
      <w:r>
        <w:rPr>
          <w:rFonts w:hint="default" w:ascii="FreeSerif" w:hAnsi="FreeSerif" w:cs="FreeSerif"/>
          <w:b w:val="0"/>
          <w:bCs w:val="0"/>
          <w:sz w:val="28"/>
          <w:szCs w:val="28"/>
        </w:rPr>
        <w:tab/>
      </w:r>
      <w:r>
        <w:rPr>
          <w:rFonts w:hint="default" w:ascii="FreeSerif" w:hAnsi="FreeSerif" w:cs="FreeSerif"/>
          <w:b w:val="0"/>
          <w:bCs w:val="0"/>
          <w:sz w:val="28"/>
          <w:szCs w:val="28"/>
        </w:rPr>
        <w:fldChar w:fldCharType="begin"/>
      </w:r>
      <w:r>
        <w:rPr>
          <w:rFonts w:hint="default" w:ascii="FreeSerif" w:hAnsi="FreeSerif" w:cs="FreeSerif"/>
          <w:b w:val="0"/>
          <w:bCs w:val="0"/>
          <w:sz w:val="28"/>
          <w:szCs w:val="28"/>
        </w:rPr>
        <w:instrText xml:space="preserve"> PAGEREF _Toc1049120752 </w:instrText>
      </w:r>
      <w:r>
        <w:rPr>
          <w:rFonts w:hint="default" w:ascii="FreeSerif" w:hAnsi="FreeSerif" w:cs="FreeSerif"/>
          <w:b w:val="0"/>
          <w:bCs w:val="0"/>
          <w:sz w:val="28"/>
          <w:szCs w:val="28"/>
        </w:rPr>
        <w:fldChar w:fldCharType="separate"/>
      </w:r>
      <w:r>
        <w:rPr>
          <w:rFonts w:hint="default" w:ascii="FreeSerif" w:hAnsi="FreeSerif" w:cs="FreeSerif"/>
          <w:b w:val="0"/>
          <w:bCs w:val="0"/>
          <w:sz w:val="28"/>
          <w:szCs w:val="28"/>
        </w:rPr>
        <w:t>8</w:t>
      </w:r>
      <w:r>
        <w:rPr>
          <w:rFonts w:hint="default" w:ascii="FreeSerif" w:hAnsi="FreeSerif" w:cs="FreeSerif"/>
          <w:b w:val="0"/>
          <w:bCs w:val="0"/>
          <w:sz w:val="28"/>
          <w:szCs w:val="28"/>
        </w:rPr>
        <w:fldChar w:fldCharType="end"/>
      </w:r>
      <w:r>
        <w:rPr>
          <w:rFonts w:hint="default" w:ascii="FreeSerif" w:hAnsi="FreeSerif" w:eastAsia="方正仿宋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_Toc947068990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（一）指导思想</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_Toc947068990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8</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_Toc771174618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（二）基本原则</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_Toc771174618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8</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_Toc322267933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（三）主要目标</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_Toc322267933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9</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8"/>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textAlignment w:val="auto"/>
        <w:rPr>
          <w:rFonts w:hint="default" w:ascii="FreeSerif" w:hAnsi="FreeSerif" w:cs="FreeSerif"/>
          <w:b w:val="0"/>
          <w:bCs w:val="0"/>
          <w:sz w:val="28"/>
          <w:szCs w:val="28"/>
        </w:rPr>
      </w:pPr>
      <w:r>
        <w:rPr>
          <w:rFonts w:hint="default" w:ascii="FreeSerif" w:hAnsi="FreeSerif" w:eastAsia="方正仿宋_GBK" w:cs="FreeSerif"/>
          <w:b w:val="0"/>
          <w:bCs w:val="0"/>
          <w:color w:val="auto"/>
          <w:sz w:val="28"/>
          <w:szCs w:val="28"/>
        </w:rPr>
        <w:fldChar w:fldCharType="begin"/>
      </w:r>
      <w:r>
        <w:rPr>
          <w:rFonts w:hint="default" w:ascii="FreeSerif" w:hAnsi="FreeSerif" w:eastAsia="方正仿宋_GBK" w:cs="FreeSerif"/>
          <w:b w:val="0"/>
          <w:bCs w:val="0"/>
          <w:sz w:val="28"/>
          <w:szCs w:val="28"/>
        </w:rPr>
        <w:instrText xml:space="preserve"> HYPERLINK \l _Toc1915275397 </w:instrText>
      </w:r>
      <w:r>
        <w:rPr>
          <w:rFonts w:hint="default" w:ascii="FreeSerif" w:hAnsi="FreeSerif" w:eastAsia="方正仿宋_GBK" w:cs="FreeSerif"/>
          <w:b w:val="0"/>
          <w:bCs w:val="0"/>
          <w:sz w:val="28"/>
          <w:szCs w:val="28"/>
        </w:rPr>
        <w:fldChar w:fldCharType="separate"/>
      </w:r>
      <w:r>
        <w:rPr>
          <w:rFonts w:hint="default" w:ascii="FreeSerif" w:hAnsi="FreeSerif" w:eastAsia="方正黑体_GBK" w:cs="FreeSerif"/>
          <w:b w:val="0"/>
          <w:bCs w:val="0"/>
          <w:kern w:val="44"/>
          <w:sz w:val="28"/>
          <w:szCs w:val="28"/>
        </w:rPr>
        <w:t>三、主要任务</w:t>
      </w:r>
      <w:r>
        <w:rPr>
          <w:rFonts w:hint="default" w:ascii="FreeSerif" w:hAnsi="FreeSerif" w:cs="FreeSerif"/>
          <w:b w:val="0"/>
          <w:bCs w:val="0"/>
          <w:sz w:val="28"/>
          <w:szCs w:val="28"/>
        </w:rPr>
        <w:tab/>
      </w:r>
      <w:r>
        <w:rPr>
          <w:rFonts w:hint="default" w:ascii="FreeSerif" w:hAnsi="FreeSerif" w:cs="FreeSerif"/>
          <w:b w:val="0"/>
          <w:bCs w:val="0"/>
          <w:sz w:val="28"/>
          <w:szCs w:val="28"/>
        </w:rPr>
        <w:fldChar w:fldCharType="begin"/>
      </w:r>
      <w:r>
        <w:rPr>
          <w:rFonts w:hint="default" w:ascii="FreeSerif" w:hAnsi="FreeSerif" w:cs="FreeSerif"/>
          <w:b w:val="0"/>
          <w:bCs w:val="0"/>
          <w:sz w:val="28"/>
          <w:szCs w:val="28"/>
        </w:rPr>
        <w:instrText xml:space="preserve"> PAGEREF _Toc1915275397 </w:instrText>
      </w:r>
      <w:r>
        <w:rPr>
          <w:rFonts w:hint="default" w:ascii="FreeSerif" w:hAnsi="FreeSerif" w:cs="FreeSerif"/>
          <w:b w:val="0"/>
          <w:bCs w:val="0"/>
          <w:sz w:val="28"/>
          <w:szCs w:val="28"/>
        </w:rPr>
        <w:fldChar w:fldCharType="separate"/>
      </w:r>
      <w:r>
        <w:rPr>
          <w:rFonts w:hint="default" w:ascii="FreeSerif" w:hAnsi="FreeSerif" w:cs="FreeSerif"/>
          <w:b w:val="0"/>
          <w:bCs w:val="0"/>
          <w:sz w:val="28"/>
          <w:szCs w:val="28"/>
        </w:rPr>
        <w:t>10</w:t>
      </w:r>
      <w:r>
        <w:rPr>
          <w:rFonts w:hint="default" w:ascii="FreeSerif" w:hAnsi="FreeSerif" w:cs="FreeSerif"/>
          <w:b w:val="0"/>
          <w:bCs w:val="0"/>
          <w:sz w:val="28"/>
          <w:szCs w:val="28"/>
        </w:rPr>
        <w:fldChar w:fldCharType="end"/>
      </w:r>
      <w:r>
        <w:rPr>
          <w:rFonts w:hint="default" w:ascii="FreeSerif" w:hAnsi="FreeSerif" w:eastAsia="方正仿宋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_Toc1440799583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（一）持续推进土壤污染防治攻坚行动</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_Toc1440799583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10</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_Toc453013761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（二）加强地下水污染防治</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_Toc453013761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18</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_Toc1709971140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（三）深化农业农村环境治理</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_Toc1709971140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21</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_Toc510437093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kern w:val="0"/>
          <w:sz w:val="28"/>
          <w:szCs w:val="28"/>
        </w:rPr>
        <w:t>（四）提升生态环境监管能力</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_Toc510437093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26</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8"/>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textAlignment w:val="auto"/>
        <w:rPr>
          <w:rFonts w:hint="default" w:ascii="FreeSerif" w:hAnsi="FreeSerif" w:cs="FreeSerif"/>
          <w:b w:val="0"/>
          <w:bCs w:val="0"/>
          <w:sz w:val="28"/>
          <w:szCs w:val="28"/>
        </w:rPr>
      </w:pPr>
      <w:r>
        <w:rPr>
          <w:rFonts w:hint="default" w:ascii="FreeSerif" w:hAnsi="FreeSerif" w:eastAsia="方正仿宋_GBK" w:cs="FreeSerif"/>
          <w:b w:val="0"/>
          <w:bCs w:val="0"/>
          <w:color w:val="auto"/>
          <w:sz w:val="28"/>
          <w:szCs w:val="28"/>
        </w:rPr>
        <w:fldChar w:fldCharType="begin"/>
      </w:r>
      <w:r>
        <w:rPr>
          <w:rFonts w:hint="default" w:ascii="FreeSerif" w:hAnsi="FreeSerif" w:eastAsia="方正仿宋_GBK" w:cs="FreeSerif"/>
          <w:b w:val="0"/>
          <w:bCs w:val="0"/>
          <w:sz w:val="28"/>
          <w:szCs w:val="28"/>
        </w:rPr>
        <w:instrText xml:space="preserve"> HYPERLINK \l _Toc910211291 </w:instrText>
      </w:r>
      <w:r>
        <w:rPr>
          <w:rFonts w:hint="default" w:ascii="FreeSerif" w:hAnsi="FreeSerif" w:eastAsia="方正仿宋_GBK" w:cs="FreeSerif"/>
          <w:b w:val="0"/>
          <w:bCs w:val="0"/>
          <w:sz w:val="28"/>
          <w:szCs w:val="28"/>
        </w:rPr>
        <w:fldChar w:fldCharType="separate"/>
      </w:r>
      <w:r>
        <w:rPr>
          <w:rFonts w:hint="default" w:ascii="FreeSerif" w:hAnsi="FreeSerif" w:eastAsia="方正黑体_GBK" w:cs="FreeSerif"/>
          <w:b w:val="0"/>
          <w:bCs w:val="0"/>
          <w:kern w:val="44"/>
          <w:sz w:val="28"/>
          <w:szCs w:val="28"/>
        </w:rPr>
        <w:t>四、保障措施</w:t>
      </w:r>
      <w:r>
        <w:rPr>
          <w:rFonts w:hint="default" w:ascii="FreeSerif" w:hAnsi="FreeSerif" w:cs="FreeSerif"/>
          <w:b w:val="0"/>
          <w:bCs w:val="0"/>
          <w:sz w:val="28"/>
          <w:szCs w:val="28"/>
        </w:rPr>
        <w:tab/>
      </w:r>
      <w:r>
        <w:rPr>
          <w:rFonts w:hint="default" w:ascii="FreeSerif" w:hAnsi="FreeSerif" w:cs="FreeSerif"/>
          <w:b w:val="0"/>
          <w:bCs w:val="0"/>
          <w:sz w:val="28"/>
          <w:szCs w:val="28"/>
        </w:rPr>
        <w:fldChar w:fldCharType="begin"/>
      </w:r>
      <w:r>
        <w:rPr>
          <w:rFonts w:hint="default" w:ascii="FreeSerif" w:hAnsi="FreeSerif" w:cs="FreeSerif"/>
          <w:b w:val="0"/>
          <w:bCs w:val="0"/>
          <w:sz w:val="28"/>
          <w:szCs w:val="28"/>
        </w:rPr>
        <w:instrText xml:space="preserve"> PAGEREF _Toc910211291 </w:instrText>
      </w:r>
      <w:r>
        <w:rPr>
          <w:rFonts w:hint="default" w:ascii="FreeSerif" w:hAnsi="FreeSerif" w:cs="FreeSerif"/>
          <w:b w:val="0"/>
          <w:bCs w:val="0"/>
          <w:sz w:val="28"/>
          <w:szCs w:val="28"/>
        </w:rPr>
        <w:fldChar w:fldCharType="separate"/>
      </w:r>
      <w:r>
        <w:rPr>
          <w:rFonts w:hint="default" w:ascii="FreeSerif" w:hAnsi="FreeSerif" w:cs="FreeSerif"/>
          <w:b w:val="0"/>
          <w:bCs w:val="0"/>
          <w:sz w:val="28"/>
          <w:szCs w:val="28"/>
        </w:rPr>
        <w:t>28</w:t>
      </w:r>
      <w:r>
        <w:rPr>
          <w:rFonts w:hint="default" w:ascii="FreeSerif" w:hAnsi="FreeSerif" w:cs="FreeSerif"/>
          <w:b w:val="0"/>
          <w:bCs w:val="0"/>
          <w:sz w:val="28"/>
          <w:szCs w:val="28"/>
        </w:rPr>
        <w:fldChar w:fldCharType="end"/>
      </w:r>
      <w:r>
        <w:rPr>
          <w:rFonts w:hint="default" w:ascii="FreeSerif" w:hAnsi="FreeSerif" w:eastAsia="方正仿宋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_Toc293668412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napToGrid/>
          <w:kern w:val="2"/>
          <w:sz w:val="28"/>
          <w:szCs w:val="28"/>
          <w:lang w:val="en-US" w:eastAsia="zh-CN" w:bidi="ar"/>
        </w:rPr>
        <w:t>（一）加强组织领导</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_Toc293668412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28</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_Toc1668450299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napToGrid/>
          <w:kern w:val="2"/>
          <w:sz w:val="28"/>
          <w:szCs w:val="28"/>
          <w:lang w:val="en-US" w:eastAsia="zh-CN" w:bidi="ar"/>
        </w:rPr>
        <w:t>（二）加大资金投入</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_Toc1668450299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29</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eastAsia="方正楷体_GBK" w:cs="FreeSerif"/>
          <w:b w:val="0"/>
          <w:bCs w:val="0"/>
          <w:sz w:val="28"/>
          <w:szCs w:val="28"/>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_Toc2038549728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napToGrid/>
          <w:kern w:val="2"/>
          <w:sz w:val="28"/>
          <w:szCs w:val="28"/>
          <w:lang w:val="en-US" w:eastAsia="zh-CN" w:bidi="ar"/>
        </w:rPr>
        <w:t>（三）加大宣传引导</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_Toc2038549728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29</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9"/>
        <w:keepNext w:val="0"/>
        <w:keepLines w:val="0"/>
        <w:pageBreakBefore w:val="0"/>
        <w:widowControl w:val="0"/>
        <w:tabs>
          <w:tab w:val="right" w:leader="dot" w:pos="8838"/>
        </w:tabs>
        <w:kinsoku/>
        <w:wordWrap/>
        <w:overflowPunct w:val="0"/>
        <w:topLinePunct w:val="0"/>
        <w:autoSpaceDE/>
        <w:autoSpaceDN/>
        <w:bidi w:val="0"/>
        <w:adjustRightInd/>
        <w:snapToGrid/>
        <w:spacing w:line="500" w:lineRule="exact"/>
        <w:ind w:left="0" w:leftChars="0" w:firstLine="420" w:firstLineChars="150"/>
        <w:textAlignment w:val="auto"/>
        <w:rPr>
          <w:rFonts w:hint="default" w:ascii="FreeSerif" w:hAnsi="FreeSerif" w:cs="FreeSerif"/>
          <w:b w:val="0"/>
          <w:bCs w:val="0"/>
        </w:rPr>
      </w:pPr>
      <w:r>
        <w:rPr>
          <w:rFonts w:hint="default" w:ascii="FreeSerif" w:hAnsi="FreeSerif" w:eastAsia="方正楷体_GBK" w:cs="FreeSerif"/>
          <w:b w:val="0"/>
          <w:bCs w:val="0"/>
          <w:color w:val="auto"/>
          <w:sz w:val="28"/>
          <w:szCs w:val="28"/>
        </w:rPr>
        <w:fldChar w:fldCharType="begin"/>
      </w:r>
      <w:r>
        <w:rPr>
          <w:rFonts w:hint="default" w:ascii="FreeSerif" w:hAnsi="FreeSerif" w:eastAsia="方正楷体_GBK" w:cs="FreeSerif"/>
          <w:b w:val="0"/>
          <w:bCs w:val="0"/>
          <w:sz w:val="28"/>
          <w:szCs w:val="28"/>
        </w:rPr>
        <w:instrText xml:space="preserve"> HYPERLINK \l _Toc575843450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napToGrid/>
          <w:kern w:val="2"/>
          <w:sz w:val="28"/>
          <w:szCs w:val="28"/>
          <w:lang w:val="en-US" w:eastAsia="zh-CN" w:bidi="ar"/>
        </w:rPr>
        <w:t>（四）加强实施效果评估</w:t>
      </w:r>
      <w:r>
        <w:rPr>
          <w:rFonts w:hint="default" w:ascii="FreeSerif" w:hAnsi="FreeSerif" w:eastAsia="方正楷体_GBK" w:cs="FreeSerif"/>
          <w:b w:val="0"/>
          <w:bCs w:val="0"/>
          <w:sz w:val="28"/>
          <w:szCs w:val="28"/>
        </w:rPr>
        <w:tab/>
      </w:r>
      <w:r>
        <w:rPr>
          <w:rFonts w:hint="default" w:ascii="FreeSerif" w:hAnsi="FreeSerif" w:eastAsia="方正楷体_GBK" w:cs="FreeSerif"/>
          <w:b w:val="0"/>
          <w:bCs w:val="0"/>
          <w:sz w:val="28"/>
          <w:szCs w:val="28"/>
        </w:rPr>
        <w:fldChar w:fldCharType="begin"/>
      </w:r>
      <w:r>
        <w:rPr>
          <w:rFonts w:hint="default" w:ascii="FreeSerif" w:hAnsi="FreeSerif" w:eastAsia="方正楷体_GBK" w:cs="FreeSerif"/>
          <w:b w:val="0"/>
          <w:bCs w:val="0"/>
          <w:sz w:val="28"/>
          <w:szCs w:val="28"/>
        </w:rPr>
        <w:instrText xml:space="preserve"> PAGEREF _Toc575843450 </w:instrText>
      </w:r>
      <w:r>
        <w:rPr>
          <w:rFonts w:hint="default" w:ascii="FreeSerif" w:hAnsi="FreeSerif" w:eastAsia="方正楷体_GBK" w:cs="FreeSerif"/>
          <w:b w:val="0"/>
          <w:bCs w:val="0"/>
          <w:sz w:val="28"/>
          <w:szCs w:val="28"/>
        </w:rPr>
        <w:fldChar w:fldCharType="separate"/>
      </w:r>
      <w:r>
        <w:rPr>
          <w:rFonts w:hint="default" w:ascii="FreeSerif" w:hAnsi="FreeSerif" w:eastAsia="方正楷体_GBK" w:cs="FreeSerif"/>
          <w:b w:val="0"/>
          <w:bCs w:val="0"/>
          <w:sz w:val="28"/>
          <w:szCs w:val="28"/>
        </w:rPr>
        <w:t>29</w:t>
      </w:r>
      <w:r>
        <w:rPr>
          <w:rFonts w:hint="default" w:ascii="FreeSerif" w:hAnsi="FreeSerif" w:eastAsia="方正楷体_GBK" w:cs="FreeSerif"/>
          <w:b w:val="0"/>
          <w:bCs w:val="0"/>
          <w:sz w:val="28"/>
          <w:szCs w:val="28"/>
        </w:rPr>
        <w:fldChar w:fldCharType="end"/>
      </w:r>
      <w:r>
        <w:rPr>
          <w:rFonts w:hint="default" w:ascii="FreeSerif" w:hAnsi="FreeSerif" w:eastAsia="方正楷体_GBK" w:cs="FreeSerif"/>
          <w:b w:val="0"/>
          <w:bCs w:val="0"/>
          <w:color w:val="auto"/>
          <w:sz w:val="28"/>
          <w:szCs w:val="28"/>
        </w:rPr>
        <w:fldChar w:fldCharType="end"/>
      </w:r>
    </w:p>
    <w:p>
      <w:pPr>
        <w:pStyle w:val="3"/>
        <w:keepNext w:val="0"/>
        <w:keepLines w:val="0"/>
        <w:pageBreakBefore w:val="0"/>
        <w:widowControl w:val="0"/>
        <w:kinsoku/>
        <w:wordWrap/>
        <w:overflowPunct w:val="0"/>
        <w:topLinePunct w:val="0"/>
        <w:autoSpaceDE/>
        <w:autoSpaceDN/>
        <w:bidi w:val="0"/>
        <w:spacing w:line="500" w:lineRule="exact"/>
        <w:ind w:left="0" w:leftChars="0"/>
        <w:textAlignment w:val="auto"/>
        <w:rPr>
          <w:rFonts w:hint="default" w:ascii="FreeSerif" w:hAnsi="FreeSerif" w:cs="FreeSerif"/>
        </w:rPr>
        <w:sectPr>
          <w:footerReference r:id="rId8" w:type="first"/>
          <w:footerReference r:id="rId7" w:type="default"/>
          <w:pgSz w:w="11900" w:h="16821"/>
          <w:pgMar w:top="2041" w:right="1531" w:bottom="2041" w:left="1531" w:header="850" w:footer="1672" w:gutter="0"/>
          <w:pgNumType w:fmt="decimal" w:start="1"/>
          <w:cols w:space="720" w:num="1"/>
          <w:titlePg/>
          <w:rtlGutter w:val="0"/>
          <w:docGrid w:linePitch="332" w:charSpace="0"/>
        </w:sectPr>
      </w:pPr>
      <w:r>
        <w:rPr>
          <w:rFonts w:hint="default" w:ascii="FreeSerif" w:hAnsi="FreeSerif" w:eastAsia="方正仿宋_GBK" w:cs="FreeSerif"/>
          <w:b w:val="0"/>
          <w:bCs w:val="0"/>
          <w:color w:val="auto"/>
          <w:szCs w:val="32"/>
        </w:rPr>
        <w:fldChar w:fldCharType="end"/>
      </w:r>
    </w:p>
    <w:p>
      <w:pPr>
        <w:pStyle w:val="3"/>
        <w:keepNext w:val="0"/>
        <w:keepLines w:val="0"/>
        <w:pageBreakBefore w:val="0"/>
        <w:widowControl w:val="0"/>
        <w:suppressLineNumbers w:val="0"/>
        <w:kinsoku/>
        <w:wordWrap/>
        <w:overflowPunct w:val="0"/>
        <w:topLinePunct w:val="0"/>
        <w:autoSpaceDE/>
        <w:autoSpaceDN/>
        <w:bidi w:val="0"/>
        <w:adjustRightInd w:val="0"/>
        <w:snapToGrid w:val="0"/>
        <w:spacing w:line="578" w:lineRule="exact"/>
        <w:ind w:left="0" w:leftChars="0" w:firstLine="0" w:firstLineChars="0"/>
        <w:jc w:val="center"/>
        <w:textAlignment w:val="auto"/>
        <w:rPr>
          <w:rFonts w:hint="default" w:ascii="FreeSerif" w:hAnsi="FreeSerif" w:eastAsia="方正黑体_GBK" w:cs="FreeSerif"/>
          <w:b w:val="0"/>
          <w:kern w:val="44"/>
          <w:sz w:val="32"/>
          <w:szCs w:val="32"/>
        </w:rPr>
      </w:pPr>
      <w:bookmarkStart w:id="0" w:name="_Toc297109207"/>
      <w:r>
        <w:rPr>
          <w:rFonts w:hint="default" w:ascii="FreeSerif" w:hAnsi="FreeSerif" w:eastAsia="方正黑体_GBK" w:cs="FreeSerif"/>
          <w:b w:val="0"/>
          <w:kern w:val="44"/>
          <w:sz w:val="32"/>
          <w:szCs w:val="32"/>
        </w:rPr>
        <w:t>前</w:t>
      </w:r>
      <w:r>
        <w:rPr>
          <w:rFonts w:hint="default" w:ascii="FreeSerif" w:hAnsi="FreeSerif" w:eastAsia="方正黑体_GBK" w:cs="FreeSerif"/>
          <w:b w:val="0"/>
          <w:kern w:val="44"/>
          <w:sz w:val="32"/>
          <w:szCs w:val="32"/>
          <w:lang w:val="en-US" w:eastAsia="zh-CN"/>
        </w:rPr>
        <w:t xml:space="preserve"> </w:t>
      </w:r>
      <w:r>
        <w:rPr>
          <w:rFonts w:hint="default" w:ascii="FreeSerif" w:hAnsi="FreeSerif" w:eastAsia="方正黑体_GBK" w:cs="FreeSerif"/>
          <w:b w:val="0"/>
          <w:kern w:val="44"/>
          <w:sz w:val="32"/>
          <w:szCs w:val="32"/>
        </w:rPr>
        <w:t>言</w:t>
      </w:r>
      <w:bookmarkEnd w:id="0"/>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leftChars="0" w:right="0" w:firstLine="640" w:firstLineChars="200"/>
        <w:jc w:val="both"/>
        <w:textAlignment w:val="auto"/>
        <w:rPr>
          <w:rFonts w:hint="default" w:ascii="FreeSerif" w:hAnsi="FreeSerif" w:eastAsia="方正仿宋_GBK" w:cs="FreeSerif"/>
          <w:snapToGrid/>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leftChars="0" w:right="0" w:firstLine="640" w:firstLineChars="200"/>
        <w:jc w:val="both"/>
        <w:textAlignment w:val="auto"/>
        <w:rPr>
          <w:rFonts w:hint="default" w:ascii="FreeSerif" w:hAnsi="FreeSerif" w:eastAsia="方正仿宋_GBK" w:cs="FreeSerif"/>
          <w:kern w:val="2"/>
          <w:sz w:val="32"/>
          <w:szCs w:val="32"/>
        </w:rPr>
      </w:pPr>
      <w:r>
        <w:rPr>
          <w:rFonts w:hint="default" w:ascii="FreeSerif" w:hAnsi="FreeSerif" w:eastAsia="方正仿宋_GBK" w:cs="FreeSerif"/>
          <w:snapToGrid/>
          <w:kern w:val="2"/>
          <w:sz w:val="32"/>
          <w:szCs w:val="32"/>
          <w:lang w:val="en-US" w:eastAsia="zh-CN" w:bidi="ar"/>
        </w:rPr>
        <w:t>依据国家《“</w:t>
      </w:r>
      <w:r>
        <w:rPr>
          <w:rFonts w:hint="eastAsia" w:ascii="方正仿宋_GBK" w:hAnsi="方正仿宋_GBK" w:eastAsia="方正仿宋_GBK" w:cs="方正仿宋_GBK"/>
          <w:snapToGrid/>
          <w:kern w:val="2"/>
          <w:sz w:val="32"/>
          <w:szCs w:val="32"/>
          <w:lang w:val="en-US" w:eastAsia="zh-CN" w:bidi="ar"/>
        </w:rPr>
        <w:t>十四五”土壤、地下水和农村生态环境保护规划的通知》《吉林省“十四五”土壤、地下水和农村生态环境保护规划》要求，编制《白城市“十四五”土壤、地下水和农村生态环境保护规划》（以下简称《规划》）。《规划》在总结“十三五”期间白城市土壤、地下水与农业农村生态环境保护工作成效的基础</w:t>
      </w:r>
      <w:r>
        <w:rPr>
          <w:rFonts w:hint="default" w:ascii="FreeSerif" w:hAnsi="FreeSerif" w:eastAsia="方正仿宋_GBK" w:cs="FreeSerif"/>
          <w:snapToGrid/>
          <w:kern w:val="2"/>
          <w:sz w:val="32"/>
          <w:szCs w:val="32"/>
          <w:lang w:val="en-US" w:eastAsia="zh-CN" w:bidi="ar"/>
        </w:rPr>
        <w:t>上，分析全</w:t>
      </w:r>
      <w:r>
        <w:rPr>
          <w:rFonts w:hint="eastAsia" w:ascii="方正仿宋_GBK" w:hAnsi="方正仿宋_GBK" w:eastAsia="方正仿宋_GBK" w:cs="方正仿宋_GBK"/>
          <w:snapToGrid/>
          <w:kern w:val="2"/>
          <w:sz w:val="32"/>
          <w:szCs w:val="32"/>
          <w:lang w:val="en-US" w:eastAsia="zh-CN" w:bidi="ar"/>
        </w:rPr>
        <w:t>市“十四五”期间土壤、地下水与农业农村生态环境保护面临的形势，阐明“十四五”期间全市土壤、地下水与农业农村生态环境保护的总体思路、目标指标</w:t>
      </w:r>
      <w:r>
        <w:rPr>
          <w:rFonts w:hint="default" w:ascii="FreeSerif" w:hAnsi="FreeSerif" w:eastAsia="方正仿宋_GBK" w:cs="FreeSerif"/>
          <w:snapToGrid/>
          <w:kern w:val="2"/>
          <w:sz w:val="32"/>
          <w:szCs w:val="32"/>
          <w:lang w:val="en-US" w:eastAsia="zh-CN" w:bidi="ar"/>
        </w:rPr>
        <w:t>、主要任务和重点工程，为深入打好黑土地保卫战及农业农村污染防治攻坚战奠定坚实基础。规划期2021</w:t>
      </w:r>
      <w:r>
        <w:rPr>
          <w:rFonts w:hint="default" w:ascii="FreeSerif" w:hAnsi="FreeSerif" w:eastAsia="方正书宋_GBK"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2025年，展望至2035年。</w:t>
      </w:r>
    </w:p>
    <w:p>
      <w:pPr>
        <w:pStyle w:val="3"/>
        <w:keepNext w:val="0"/>
        <w:keepLines w:val="0"/>
        <w:pageBreakBefore w:val="0"/>
        <w:widowControl w:val="0"/>
        <w:suppressLineNumbers w:val="0"/>
        <w:kinsoku/>
        <w:wordWrap/>
        <w:overflowPunct w:val="0"/>
        <w:topLinePunct w:val="0"/>
        <w:autoSpaceDE/>
        <w:autoSpaceDN/>
        <w:bidi w:val="0"/>
        <w:adjustRightInd w:val="0"/>
        <w:snapToGrid w:val="0"/>
        <w:spacing w:line="578" w:lineRule="exact"/>
        <w:ind w:left="0" w:leftChars="0" w:firstLine="640" w:firstLineChars="200"/>
        <w:jc w:val="both"/>
        <w:textAlignment w:val="auto"/>
        <w:outlineLvl w:val="0"/>
        <w:rPr>
          <w:rFonts w:hint="default" w:ascii="FreeSerif" w:hAnsi="FreeSerif" w:eastAsia="方正黑体_GBK" w:cs="FreeSerif"/>
          <w:b w:val="0"/>
          <w:kern w:val="44"/>
          <w:sz w:val="32"/>
          <w:szCs w:val="32"/>
        </w:rPr>
      </w:pPr>
      <w:bookmarkStart w:id="1" w:name="_Toc2127126175"/>
      <w:r>
        <w:rPr>
          <w:rFonts w:hint="default" w:ascii="FreeSerif" w:hAnsi="FreeSerif" w:eastAsia="方正黑体_GBK" w:cs="FreeSerif"/>
          <w:b w:val="0"/>
          <w:kern w:val="44"/>
          <w:sz w:val="32"/>
          <w:szCs w:val="32"/>
        </w:rPr>
        <w:t>一、进展与形势</w:t>
      </w:r>
      <w:bookmarkEnd w:id="1"/>
    </w:p>
    <w:p>
      <w:pPr>
        <w:pStyle w:val="4"/>
        <w:keepNext w:val="0"/>
        <w:keepLines w:val="0"/>
        <w:pageBreakBefore w:val="0"/>
        <w:widowControl w:val="0"/>
        <w:suppressLineNumbers w:val="0"/>
        <w:kinsoku/>
        <w:wordWrap/>
        <w:overflowPunct w:val="0"/>
        <w:topLinePunct w:val="0"/>
        <w:autoSpaceDE/>
        <w:autoSpaceDN/>
        <w:bidi w:val="0"/>
        <w:adjustRightInd w:val="0"/>
        <w:snapToGrid w:val="0"/>
        <w:spacing w:line="578" w:lineRule="exact"/>
        <w:ind w:left="0" w:leftChars="0" w:firstLine="640" w:firstLineChars="200"/>
        <w:jc w:val="both"/>
        <w:textAlignment w:val="auto"/>
        <w:outlineLvl w:val="1"/>
        <w:rPr>
          <w:rFonts w:hint="default" w:ascii="FreeSerif" w:hAnsi="FreeSerif" w:eastAsia="方正仿宋_GBK" w:cs="FreeSerif"/>
          <w:b w:val="0"/>
          <w:bCs w:val="0"/>
          <w:sz w:val="32"/>
          <w:szCs w:val="32"/>
        </w:rPr>
      </w:pPr>
      <w:bookmarkStart w:id="2" w:name="_Toc1811061296"/>
      <w:r>
        <w:rPr>
          <w:rFonts w:hint="default" w:ascii="FreeSerif" w:hAnsi="FreeSerif" w:eastAsia="方正楷体_GBK" w:cs="FreeSerif"/>
          <w:b w:val="0"/>
          <w:bCs/>
          <w:kern w:val="0"/>
          <w:sz w:val="32"/>
          <w:szCs w:val="32"/>
        </w:rPr>
        <w:t>（一）工作进展</w:t>
      </w:r>
      <w:bookmarkEnd w:id="2"/>
      <w:r>
        <w:rPr>
          <w:rFonts w:hint="default" w:ascii="FreeSerif" w:hAnsi="FreeSerif" w:eastAsia="方正仿宋_GBK" w:cs="FreeSerif"/>
          <w:b w:val="0"/>
          <w:bCs w:val="0"/>
          <w:sz w:val="32"/>
          <w:szCs w:val="32"/>
          <w:lang w:val="en-US" w:eastAsia="zh-CN"/>
        </w:rPr>
        <w:t>。</w:t>
      </w:r>
      <w:r>
        <w:rPr>
          <w:rFonts w:hint="eastAsia" w:ascii="方正仿宋_GBK" w:hAnsi="方正仿宋_GBK" w:eastAsia="方正仿宋_GBK" w:cs="方正仿宋_GBK"/>
          <w:b w:val="0"/>
          <w:bCs w:val="0"/>
          <w:snapToGrid/>
          <w:kern w:val="2"/>
          <w:sz w:val="32"/>
          <w:szCs w:val="32"/>
          <w:lang w:val="en-US" w:eastAsia="zh-CN" w:bidi="ar"/>
        </w:rPr>
        <w:t>“</w:t>
      </w:r>
      <w:r>
        <w:rPr>
          <w:rFonts w:hint="eastAsia" w:ascii="方正仿宋_GBK" w:hAnsi="方正仿宋_GBK" w:eastAsia="方正仿宋_GBK" w:cs="方正仿宋_GBK"/>
          <w:b w:val="0"/>
          <w:bCs w:val="0"/>
          <w:sz w:val="32"/>
          <w:szCs w:val="32"/>
          <w:lang w:val="en-US" w:eastAsia="zh-CN"/>
        </w:rPr>
        <w:t>十三五”</w:t>
      </w:r>
      <w:r>
        <w:rPr>
          <w:rFonts w:hint="default" w:ascii="FreeSerif" w:hAnsi="FreeSerif" w:eastAsia="方正仿宋_GBK" w:cs="FreeSerif"/>
          <w:b w:val="0"/>
          <w:bCs w:val="0"/>
          <w:sz w:val="32"/>
          <w:szCs w:val="32"/>
          <w:lang w:val="en-US" w:eastAsia="zh-CN"/>
        </w:rPr>
        <w:t>以来，全市深入贯彻习近平生态文明思想，认真落实党中央、国务院及省委、省政府决策部署，大力实施《土壤污染防治行动计划》《吉林省清洁土壤行动计划》《水污染防治行动计划》《吉林省清洁水体行动计划》《农业农村污染治理攻坚战行动计划》《吉林省农业农村污染治理攻坚战行动方案》，推进土壤、地下水与农业农村生态环境保护，取得积极成效。</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lang w:val="en-US" w:eastAsia="zh-CN"/>
        </w:rPr>
        <w:t>1．土壤环境风险得到基本管控。</w:t>
      </w:r>
    </w:p>
    <w:p>
      <w:pPr>
        <w:keepNext w:val="0"/>
        <w:keepLines w:val="0"/>
        <w:pageBreakBefore w:val="0"/>
        <w:widowControl w:val="0"/>
        <w:kinsoku/>
        <w:wordWrap/>
        <w:overflowPunct w:val="0"/>
        <w:topLinePunct w:val="0"/>
        <w:autoSpaceDE/>
        <w:autoSpaceDN/>
        <w:bidi w:val="0"/>
        <w:adjustRightInd w:val="0"/>
        <w:snapToGrid w:val="0"/>
        <w:spacing w:line="578" w:lineRule="exact"/>
        <w:ind w:left="42" w:leftChars="20"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lang w:val="en-US" w:eastAsia="zh-CN"/>
        </w:rPr>
        <w:t>白城市土壤环境质量总体保持稳定，部分区域稳中有升，农用地和建设用地土壤环境安全得到基本保障，土壤环境风险得到基本管控。印发《白城市落实清洁土壤行动计划实施方案》《白城市土壤污染状况详查实施方案》《白城市土壤污染防治目标责任书》，制定《白城市开展涉镉等重金属重点行业企业排查整治工作方案》《白城市地膜回收行动方案》《白城市农村非正规垃圾堆放点排查整治工作实施方案》《白城市耕地土壤环境质量类别划分工作方案》《白城市污染耕地安全利用和严格管控总体方案》等。建立全市土壤环境信息化平台，基本建成土壤环境监测网络。</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leftChars="0" w:right="0" w:firstLine="640" w:firstLineChars="200"/>
        <w:jc w:val="both"/>
        <w:textAlignment w:val="auto"/>
        <w:rPr>
          <w:rFonts w:hint="default" w:ascii="FreeSerif" w:hAnsi="FreeSerif" w:eastAsia="方正仿宋_GBK" w:cs="FreeSerif"/>
          <w:kern w:val="2"/>
          <w:sz w:val="32"/>
          <w:szCs w:val="32"/>
        </w:rPr>
      </w:pPr>
      <w:r>
        <w:rPr>
          <w:rFonts w:hint="default" w:ascii="FreeSerif" w:hAnsi="FreeSerif" w:eastAsia="方正仿宋_GBK" w:cs="FreeSerif"/>
          <w:snapToGrid/>
          <w:kern w:val="2"/>
          <w:sz w:val="32"/>
          <w:szCs w:val="32"/>
          <w:lang w:val="en-US" w:eastAsia="zh-CN" w:bidi="ar"/>
        </w:rPr>
        <w:t>完成农用地详查工作，形成农用地土壤污染状况详查数据库。完成全市农用地土壤环境质量类别划分，建立耕地土壤环境质量档案和分类清单。完成29户重点行业企业用地土壤污染状况详查，建立污染地块清单和优先管控名录，并公布土壤污染重点监管单位名录。与辖区内5个县（市、区）政府和7家重点监管企业全部签订了土壤污染防治目标责任书，并报省厅备案。严格落实建设用地调查评估制度，实行污染地块再开发利用准入管理，印发《白城市建设用地污染地块风险管控工作方案》，建立疑似污染地块名单。印发《白城市关于进一步加强建设用地土壤环境联动监管的通知》（白环发〔2021〕39号），建立建设用地用途管理制度。</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right="0" w:firstLine="640" w:firstLineChars="200"/>
        <w:jc w:val="both"/>
        <w:textAlignment w:val="auto"/>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2．地下水生态环境保护稳步推进。</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leftChars="0" w:right="0" w:firstLine="640" w:firstLineChars="200"/>
        <w:jc w:val="both"/>
        <w:textAlignment w:val="auto"/>
        <w:rPr>
          <w:rFonts w:hint="default" w:ascii="FreeSerif" w:hAnsi="FreeSerif" w:eastAsia="方正仿宋_GBK" w:cs="FreeSerif"/>
          <w:kern w:val="2"/>
          <w:sz w:val="32"/>
          <w:szCs w:val="32"/>
        </w:rPr>
      </w:pPr>
      <w:r>
        <w:rPr>
          <w:rFonts w:hint="default" w:ascii="FreeSerif" w:hAnsi="FreeSerif" w:eastAsia="方正仿宋_GBK" w:cs="FreeSerif"/>
          <w:snapToGrid/>
          <w:kern w:val="2"/>
          <w:sz w:val="32"/>
          <w:szCs w:val="32"/>
          <w:lang w:val="en-US" w:eastAsia="zh-CN" w:bidi="ar"/>
        </w:rPr>
        <w:t>制定出台《白城市落实水污染防治行动计划实施方案》，按月调度全市水污染防治行动计划工作进展，上报省“水十条”调度平台，按年度完成《白城市落实水污染防治行动计划实施情况自查报告》上报工作。完成全市需要整治的14个入河排污口整治工作，达到生活污水不直排入河的目标要求。完成全市县级及以上6处城镇集中式饮用水水源地保护区划调整工作，饮用水源水质达标率为100</w:t>
      </w:r>
      <w:r>
        <w:rPr>
          <w:rFonts w:hint="default" w:ascii="FreeSerif" w:hAnsi="FreeSerif" w:eastAsia="CESI楷体-GB13000" w:cs="FreeSerif"/>
          <w:snapToGrid/>
          <w:kern w:val="2"/>
          <w:sz w:val="32"/>
          <w:szCs w:val="32"/>
          <w:lang w:val="en" w:eastAsia="zh-CN" w:bidi="ar"/>
        </w:rPr>
        <w:t>%</w:t>
      </w:r>
      <w:r>
        <w:rPr>
          <w:rFonts w:hint="default" w:ascii="FreeSerif" w:hAnsi="FreeSerif" w:eastAsia="方正仿宋_GBK" w:cs="FreeSerif"/>
          <w:snapToGrid/>
          <w:kern w:val="2"/>
          <w:sz w:val="32"/>
          <w:szCs w:val="32"/>
          <w:lang w:val="en-US" w:eastAsia="zh-CN" w:bidi="ar"/>
        </w:rPr>
        <w:t>。全市7个省级以上工业园区（吉林白城工业园区、吉林白城经济开发区、吉林镇赉经济开发区、吉林通榆经济开发区、吉林大安经济开发区、洮北区经济开发区、洮南经济开发区）全部完成污水处理设施建设和在线监测装置安装任务。全市共有279座加油站，全面完成更新双层罐或设置防渗池的改造任务。</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leftChars="0" w:right="0" w:firstLine="640" w:firstLineChars="200"/>
        <w:jc w:val="both"/>
        <w:textAlignment w:val="auto"/>
        <w:rPr>
          <w:rFonts w:hint="default" w:ascii="FreeSerif" w:hAnsi="FreeSerif" w:eastAsia="方正仿宋_GBK" w:cs="FreeSerif"/>
          <w:kern w:val="2"/>
          <w:sz w:val="32"/>
          <w:szCs w:val="32"/>
        </w:rPr>
      </w:pPr>
      <w:r>
        <w:rPr>
          <w:rFonts w:hint="default" w:ascii="FreeSerif" w:hAnsi="FreeSerif" w:eastAsia="方正仿宋_GBK" w:cs="FreeSerif"/>
          <w:snapToGrid/>
          <w:kern w:val="2"/>
          <w:sz w:val="32"/>
          <w:szCs w:val="32"/>
          <w:lang w:val="en-US" w:eastAsia="zh-CN" w:bidi="ar"/>
        </w:rPr>
        <w:t>初步构建地下水环境监测网络，实施</w:t>
      </w:r>
      <w:r>
        <w:rPr>
          <w:rFonts w:hint="eastAsia" w:ascii="方正仿宋_GBK" w:hAnsi="方正仿宋_GBK" w:eastAsia="方正仿宋_GBK" w:cs="方正仿宋_GBK"/>
          <w:snapToGrid/>
          <w:kern w:val="2"/>
          <w:sz w:val="32"/>
          <w:szCs w:val="32"/>
          <w:lang w:val="en-US" w:eastAsia="zh-CN" w:bidi="ar"/>
        </w:rPr>
        <w:t>“国家地下水监测工程”，建成国家</w:t>
      </w:r>
      <w:r>
        <w:rPr>
          <w:rFonts w:hint="default" w:ascii="FreeSerif" w:hAnsi="FreeSerif" w:eastAsia="方正仿宋_GBK" w:cs="FreeSerif"/>
          <w:snapToGrid/>
          <w:kern w:val="2"/>
          <w:sz w:val="32"/>
          <w:szCs w:val="32"/>
          <w:lang w:val="en-US" w:eastAsia="zh-CN" w:bidi="ar"/>
        </w:rPr>
        <w:t>地下水监测站点8个。地下水污染防治初见成效，全市24个地下水考核点位实现质量极差比例控制在20.83</w:t>
      </w:r>
      <w:r>
        <w:rPr>
          <w:rFonts w:hint="default" w:ascii="FreeSerif" w:hAnsi="FreeSerif" w:eastAsia="CESI楷体-GB13000" w:cs="FreeSerif"/>
          <w:snapToGrid/>
          <w:kern w:val="2"/>
          <w:sz w:val="32"/>
          <w:szCs w:val="32"/>
          <w:lang w:val="en" w:eastAsia="zh-CN" w:bidi="ar"/>
        </w:rPr>
        <w:t>%</w:t>
      </w:r>
      <w:r>
        <w:rPr>
          <w:rFonts w:hint="default" w:ascii="FreeSerif" w:hAnsi="FreeSerif" w:eastAsia="方正仿宋_GBK" w:cs="FreeSerif"/>
          <w:snapToGrid/>
          <w:kern w:val="2"/>
          <w:sz w:val="32"/>
          <w:szCs w:val="32"/>
          <w:lang w:val="en-US" w:eastAsia="zh-CN" w:bidi="ar"/>
        </w:rPr>
        <w:t>左右的目标。</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right="0" w:firstLine="640" w:firstLineChars="200"/>
        <w:jc w:val="both"/>
        <w:textAlignment w:val="auto"/>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3．农业农村生态环境保护取得进展。</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78" w:lineRule="exact"/>
        <w:ind w:left="0" w:right="0" w:firstLine="640" w:firstLineChars="200"/>
        <w:jc w:val="both"/>
        <w:textAlignment w:val="auto"/>
        <w:rPr>
          <w:rFonts w:hint="default" w:ascii="FreeSerif" w:hAnsi="FreeSerif" w:eastAsia="方正仿宋_GBK" w:cs="FreeSerif"/>
          <w:kern w:val="2"/>
          <w:sz w:val="32"/>
          <w:szCs w:val="32"/>
        </w:rPr>
      </w:pPr>
      <w:r>
        <w:rPr>
          <w:rFonts w:hint="default" w:ascii="FreeSerif" w:hAnsi="FreeSerif" w:eastAsia="方正仿宋_GBK" w:cs="FreeSerif"/>
          <w:snapToGrid/>
          <w:kern w:val="2"/>
          <w:sz w:val="32"/>
          <w:szCs w:val="32"/>
          <w:lang w:val="en-US" w:eastAsia="zh-CN" w:bidi="ar"/>
        </w:rPr>
        <w:t>制定实施了《白城市农业农村污染治理攻坚战实施方案》。</w:t>
      </w:r>
      <w:r>
        <w:rPr>
          <w:rFonts w:hint="eastAsia" w:ascii="方正仿宋_GBK" w:hAnsi="方正仿宋_GBK" w:eastAsia="方正仿宋_GBK" w:cs="方正仿宋_GBK"/>
          <w:snapToGrid/>
          <w:kern w:val="2"/>
          <w:sz w:val="32"/>
          <w:szCs w:val="32"/>
          <w:lang w:val="en-US" w:eastAsia="zh-CN" w:bidi="ar"/>
        </w:rPr>
        <w:t>“十三五”期</w:t>
      </w:r>
      <w:r>
        <w:rPr>
          <w:rFonts w:hint="default" w:ascii="FreeSerif" w:hAnsi="FreeSerif" w:eastAsia="方正仿宋_GBK" w:cs="FreeSerif"/>
          <w:snapToGrid/>
          <w:kern w:val="2"/>
          <w:sz w:val="32"/>
          <w:szCs w:val="32"/>
          <w:lang w:val="en-US" w:eastAsia="zh-CN" w:bidi="ar"/>
        </w:rPr>
        <w:t>间完成整治行政村</w:t>
      </w:r>
      <w:r>
        <w:rPr>
          <w:rFonts w:hint="default" w:ascii="FreeSerif" w:hAnsi="FreeSerif" w:eastAsia="FreeSerif" w:cs="FreeSerif"/>
          <w:snapToGrid/>
          <w:kern w:val="2"/>
          <w:sz w:val="32"/>
          <w:szCs w:val="32"/>
          <w:lang w:val="en-US" w:eastAsia="zh-CN" w:bidi="ar"/>
        </w:rPr>
        <w:t>340</w:t>
      </w:r>
      <w:r>
        <w:rPr>
          <w:rFonts w:hint="default" w:ascii="FreeSerif" w:hAnsi="FreeSerif" w:eastAsia="方正仿宋_GBK" w:cs="FreeSerif"/>
          <w:snapToGrid/>
          <w:kern w:val="2"/>
          <w:sz w:val="32"/>
          <w:szCs w:val="32"/>
          <w:lang w:val="en-US" w:eastAsia="zh-CN" w:bidi="ar"/>
        </w:rPr>
        <w:t>个。全市完成了</w:t>
      </w:r>
      <w:r>
        <w:rPr>
          <w:rFonts w:hint="default" w:ascii="FreeSerif" w:hAnsi="FreeSerif" w:eastAsia="FreeSerif" w:cs="FreeSerif"/>
          <w:snapToGrid/>
          <w:kern w:val="2"/>
          <w:sz w:val="32"/>
          <w:szCs w:val="32"/>
          <w:lang w:val="en-US" w:eastAsia="zh-CN" w:bidi="ar"/>
        </w:rPr>
        <w:t>132</w:t>
      </w:r>
      <w:r>
        <w:rPr>
          <w:rFonts w:hint="default" w:ascii="FreeSerif" w:hAnsi="FreeSerif" w:eastAsia="方正仿宋_GBK" w:cs="FreeSerif"/>
          <w:snapToGrid/>
          <w:kern w:val="2"/>
          <w:sz w:val="32"/>
          <w:szCs w:val="32"/>
          <w:lang w:val="en-US" w:eastAsia="zh-CN" w:bidi="ar"/>
        </w:rPr>
        <w:t>处农村集中式饮用水水源保护区范围划定，农村饮用水水质检测覆盖率</w:t>
      </w:r>
      <w:r>
        <w:rPr>
          <w:rFonts w:hint="default" w:ascii="FreeSerif" w:hAnsi="FreeSerif" w:eastAsia="FreeSerif" w:cs="FreeSerif"/>
          <w:snapToGrid/>
          <w:kern w:val="2"/>
          <w:sz w:val="32"/>
          <w:szCs w:val="32"/>
          <w:lang w:val="en-US" w:eastAsia="zh-CN" w:bidi="ar"/>
        </w:rPr>
        <w:t>100</w:t>
      </w:r>
      <w:r>
        <w:rPr>
          <w:rFonts w:hint="default" w:ascii="FreeSerif" w:hAnsi="FreeSerif" w:eastAsia="CESI楷体-GB13000" w:cs="FreeSerif"/>
          <w:snapToGrid/>
          <w:kern w:val="2"/>
          <w:sz w:val="32"/>
          <w:szCs w:val="32"/>
          <w:lang w:val="en" w:eastAsia="zh-CN" w:bidi="ar"/>
        </w:rPr>
        <w:t>%</w:t>
      </w:r>
      <w:r>
        <w:rPr>
          <w:rFonts w:hint="default" w:ascii="FreeSerif" w:hAnsi="FreeSerif" w:eastAsia="方正仿宋_GBK" w:cs="FreeSerif"/>
          <w:snapToGrid/>
          <w:kern w:val="2"/>
          <w:sz w:val="32"/>
          <w:szCs w:val="32"/>
          <w:lang w:val="en-US" w:eastAsia="zh-CN" w:bidi="ar"/>
        </w:rPr>
        <w:t>，总合格率为</w:t>
      </w:r>
      <w:r>
        <w:rPr>
          <w:rFonts w:hint="default" w:ascii="FreeSerif" w:hAnsi="FreeSerif" w:eastAsia="FreeSerif" w:cs="FreeSerif"/>
          <w:snapToGrid/>
          <w:kern w:val="2"/>
          <w:sz w:val="32"/>
          <w:szCs w:val="32"/>
          <w:lang w:val="en-US" w:eastAsia="zh-CN" w:bidi="ar"/>
        </w:rPr>
        <w:t>100</w:t>
      </w:r>
      <w:r>
        <w:rPr>
          <w:rFonts w:hint="default" w:ascii="FreeSerif" w:hAnsi="FreeSerif" w:eastAsia="CESI楷体-GB13000" w:cs="FreeSerif"/>
          <w:snapToGrid/>
          <w:kern w:val="2"/>
          <w:sz w:val="32"/>
          <w:szCs w:val="32"/>
          <w:lang w:val="en" w:eastAsia="zh-CN" w:bidi="ar"/>
        </w:rPr>
        <w:t>%</w:t>
      </w:r>
      <w:r>
        <w:rPr>
          <w:rFonts w:hint="default" w:ascii="FreeSerif" w:hAnsi="FreeSerif" w:eastAsia="方正仿宋_GBK" w:cs="FreeSerif"/>
          <w:snapToGrid/>
          <w:kern w:val="2"/>
          <w:sz w:val="32"/>
          <w:szCs w:val="32"/>
          <w:lang w:val="en-US" w:eastAsia="zh-CN" w:bidi="ar"/>
        </w:rPr>
        <w:t>。开展</w:t>
      </w:r>
      <w:r>
        <w:rPr>
          <w:rFonts w:hint="default" w:ascii="FreeSerif" w:hAnsi="FreeSerif" w:eastAsia="FreeSerif" w:cs="FreeSerif"/>
          <w:snapToGrid/>
          <w:kern w:val="2"/>
          <w:sz w:val="32"/>
          <w:szCs w:val="32"/>
          <w:lang w:val="en-US" w:eastAsia="zh-CN" w:bidi="ar"/>
        </w:rPr>
        <w:t>6</w:t>
      </w:r>
      <w:r>
        <w:rPr>
          <w:rFonts w:hint="default" w:ascii="FreeSerif" w:hAnsi="FreeSerif" w:eastAsia="方正仿宋_GBK" w:cs="FreeSerif"/>
          <w:snapToGrid/>
          <w:kern w:val="2"/>
          <w:sz w:val="32"/>
          <w:szCs w:val="32"/>
          <w:lang w:val="en-US" w:eastAsia="zh-CN" w:bidi="ar"/>
        </w:rPr>
        <w:t>个县级以上水源地规范化建设。</w:t>
      </w:r>
      <w:r>
        <w:rPr>
          <w:rFonts w:hint="default" w:ascii="FreeSerif" w:hAnsi="FreeSerif" w:eastAsia="方正仿宋_GBK" w:cs="FreeSerif"/>
          <w:snapToGrid/>
          <w:kern w:val="2"/>
          <w:sz w:val="32"/>
          <w:szCs w:val="32"/>
          <w:lang w:val="en" w:eastAsia="zh-CN" w:bidi="ar"/>
        </w:rPr>
        <w:t xml:space="preserve"> </w:t>
      </w:r>
      <w:r>
        <w:rPr>
          <w:rFonts w:hint="default" w:ascii="FreeSerif" w:hAnsi="FreeSerif" w:eastAsia="方正仿宋_GBK" w:cs="FreeSerif"/>
          <w:snapToGrid/>
          <w:kern w:val="2"/>
          <w:sz w:val="32"/>
          <w:szCs w:val="32"/>
          <w:lang w:val="en-US" w:eastAsia="zh-CN" w:bidi="ar"/>
        </w:rPr>
        <w:t>全省率先开展农村环境卫</w:t>
      </w:r>
      <w:r>
        <w:rPr>
          <w:rFonts w:hint="eastAsia" w:ascii="方正仿宋_GBK" w:hAnsi="方正仿宋_GBK" w:eastAsia="方正仿宋_GBK" w:cs="方正仿宋_GBK"/>
          <w:snapToGrid/>
          <w:kern w:val="2"/>
          <w:sz w:val="32"/>
          <w:szCs w:val="32"/>
          <w:lang w:val="en-US" w:eastAsia="zh-CN" w:bidi="ar"/>
        </w:rPr>
        <w:t>生“六清”整</w:t>
      </w:r>
      <w:r>
        <w:rPr>
          <w:rFonts w:hint="default" w:ascii="FreeSerif" w:hAnsi="FreeSerif" w:eastAsia="方正仿宋_GBK" w:cs="FreeSerif"/>
          <w:snapToGrid/>
          <w:kern w:val="2"/>
          <w:sz w:val="32"/>
          <w:szCs w:val="32"/>
          <w:lang w:val="en-US" w:eastAsia="zh-CN" w:bidi="ar"/>
        </w:rPr>
        <w:t>治行动，累计改厕</w:t>
      </w:r>
      <w:r>
        <w:rPr>
          <w:rFonts w:hint="default" w:ascii="FreeSerif" w:hAnsi="FreeSerif" w:eastAsia="FreeSerif" w:cs="FreeSerif"/>
          <w:snapToGrid/>
          <w:kern w:val="2"/>
          <w:sz w:val="32"/>
          <w:szCs w:val="32"/>
          <w:lang w:val="en-US" w:eastAsia="zh-CN" w:bidi="ar"/>
        </w:rPr>
        <w:t>7.7</w:t>
      </w:r>
      <w:r>
        <w:rPr>
          <w:rFonts w:hint="default" w:ascii="FreeSerif" w:hAnsi="FreeSerif" w:eastAsia="方正仿宋_GBK" w:cs="FreeSerif"/>
          <w:snapToGrid/>
          <w:kern w:val="2"/>
          <w:sz w:val="32"/>
          <w:szCs w:val="32"/>
          <w:lang w:val="en-US" w:eastAsia="zh-CN" w:bidi="ar"/>
        </w:rPr>
        <w:t>万户，建成11个建制镇污水处理厂。全市</w:t>
      </w:r>
      <w:r>
        <w:rPr>
          <w:rFonts w:hint="default" w:ascii="FreeSerif" w:hAnsi="FreeSerif" w:eastAsia="FreeSerif" w:cs="FreeSerif"/>
          <w:snapToGrid/>
          <w:kern w:val="2"/>
          <w:sz w:val="32"/>
          <w:szCs w:val="32"/>
          <w:lang w:val="en-US" w:eastAsia="zh-CN" w:bidi="ar"/>
        </w:rPr>
        <w:t>919</w:t>
      </w:r>
      <w:r>
        <w:rPr>
          <w:rFonts w:hint="default" w:ascii="FreeSerif" w:hAnsi="FreeSerif" w:eastAsia="方正仿宋_GBK" w:cs="FreeSerif"/>
          <w:snapToGrid/>
          <w:kern w:val="2"/>
          <w:sz w:val="32"/>
          <w:szCs w:val="32"/>
          <w:lang w:val="en-US" w:eastAsia="zh-CN" w:bidi="ar"/>
        </w:rPr>
        <w:t>个行政村全部建立了生活垃圾收运处置体系，完成率</w:t>
      </w:r>
      <w:r>
        <w:rPr>
          <w:rFonts w:hint="default" w:ascii="FreeSerif" w:hAnsi="FreeSerif" w:eastAsia="FreeSerif" w:cs="FreeSerif"/>
          <w:snapToGrid/>
          <w:kern w:val="2"/>
          <w:sz w:val="32"/>
          <w:szCs w:val="32"/>
          <w:lang w:val="en-US" w:eastAsia="zh-CN" w:bidi="ar"/>
        </w:rPr>
        <w:t>100</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，建设垃圾转运站</w:t>
      </w:r>
      <w:r>
        <w:rPr>
          <w:rFonts w:hint="default" w:ascii="FreeSerif" w:hAnsi="FreeSerif" w:eastAsia="FreeSerif" w:cs="FreeSerif"/>
          <w:snapToGrid/>
          <w:kern w:val="2"/>
          <w:sz w:val="32"/>
          <w:szCs w:val="32"/>
          <w:lang w:val="en-US" w:eastAsia="zh-CN" w:bidi="ar"/>
        </w:rPr>
        <w:t>30</w:t>
      </w:r>
      <w:r>
        <w:rPr>
          <w:rFonts w:hint="default" w:ascii="FreeSerif" w:hAnsi="FreeSerif" w:eastAsia="方正仿宋_GBK" w:cs="FreeSerif"/>
          <w:snapToGrid/>
          <w:kern w:val="2"/>
          <w:sz w:val="32"/>
          <w:szCs w:val="32"/>
          <w:lang w:val="en-US" w:eastAsia="zh-CN" w:bidi="ar"/>
        </w:rPr>
        <w:t>座。开展全市农村生活污水治理现状摸底调查及农村黑臭水体排查，排查无黑臭水体。全市</w:t>
      </w:r>
      <w:r>
        <w:rPr>
          <w:rFonts w:hint="default" w:ascii="FreeSerif" w:hAnsi="FreeSerif" w:eastAsia="FreeSerif" w:cs="FreeSerif"/>
          <w:snapToGrid/>
          <w:kern w:val="2"/>
          <w:sz w:val="32"/>
          <w:szCs w:val="32"/>
          <w:lang w:val="en-US" w:eastAsia="zh-CN" w:bidi="ar"/>
        </w:rPr>
        <w:t>137</w:t>
      </w:r>
      <w:r>
        <w:rPr>
          <w:rFonts w:hint="default" w:ascii="FreeSerif" w:hAnsi="FreeSerif" w:eastAsia="方正仿宋_GBK" w:cs="FreeSerif"/>
          <w:snapToGrid/>
          <w:kern w:val="2"/>
          <w:sz w:val="32"/>
          <w:szCs w:val="32"/>
          <w:lang w:val="en-US" w:eastAsia="zh-CN" w:bidi="ar"/>
        </w:rPr>
        <w:t>户规模养殖场粪污处理设施装备配套率达到</w:t>
      </w:r>
      <w:r>
        <w:rPr>
          <w:rFonts w:hint="default" w:ascii="FreeSerif" w:hAnsi="FreeSerif" w:eastAsia="FreeSerif" w:cs="FreeSerif"/>
          <w:snapToGrid/>
          <w:kern w:val="2"/>
          <w:sz w:val="32"/>
          <w:szCs w:val="32"/>
          <w:lang w:val="en-US" w:eastAsia="zh-CN" w:bidi="ar"/>
        </w:rPr>
        <w:t>97.86</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，畜禽粪污综合利用率达到</w:t>
      </w:r>
      <w:r>
        <w:rPr>
          <w:rFonts w:hint="default" w:ascii="FreeSerif" w:hAnsi="FreeSerif" w:eastAsia="FreeSerif" w:cs="FreeSerif"/>
          <w:snapToGrid/>
          <w:kern w:val="2"/>
          <w:sz w:val="32"/>
          <w:szCs w:val="32"/>
          <w:lang w:val="en-US" w:eastAsia="zh-CN" w:bidi="ar"/>
        </w:rPr>
        <w:t>90.25</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w:t>
      </w:r>
      <w:r>
        <w:rPr>
          <w:rFonts w:hint="default" w:ascii="FreeSerif" w:hAnsi="FreeSerif" w:eastAsia="FreeSerif" w:cs="FreeSerif"/>
          <w:snapToGrid/>
          <w:kern w:val="2"/>
          <w:sz w:val="32"/>
          <w:szCs w:val="32"/>
          <w:lang w:val="en-US" w:eastAsia="zh-CN" w:bidi="ar"/>
        </w:rPr>
        <w:t>2018</w:t>
      </w:r>
      <w:r>
        <w:rPr>
          <w:rFonts w:hint="default" w:ascii="FreeSerif" w:hAnsi="FreeSerif" w:eastAsia="方正仿宋_GBK" w:cs="FreeSerif"/>
          <w:snapToGrid/>
          <w:kern w:val="2"/>
          <w:sz w:val="32"/>
          <w:szCs w:val="32"/>
          <w:lang w:val="en-US" w:eastAsia="zh-CN" w:bidi="ar"/>
        </w:rPr>
        <w:t>年</w:t>
      </w:r>
      <w:r>
        <w:rPr>
          <w:rFonts w:hint="default" w:ascii="FreeSerif" w:hAnsi="FreeSerif" w:eastAsia="FreeSerif" w:cs="FreeSerif"/>
          <w:snapToGrid/>
          <w:kern w:val="2"/>
          <w:sz w:val="32"/>
          <w:szCs w:val="32"/>
          <w:lang w:val="en-US" w:eastAsia="zh-CN" w:bidi="ar"/>
        </w:rPr>
        <w:t>7</w:t>
      </w:r>
      <w:r>
        <w:rPr>
          <w:rFonts w:hint="default" w:ascii="FreeSerif" w:hAnsi="FreeSerif" w:eastAsia="方正仿宋_GBK" w:cs="FreeSerif"/>
          <w:snapToGrid/>
          <w:kern w:val="2"/>
          <w:sz w:val="32"/>
          <w:szCs w:val="32"/>
          <w:lang w:val="en-US" w:eastAsia="zh-CN" w:bidi="ar"/>
        </w:rPr>
        <w:t>月全市禁养区内</w:t>
      </w:r>
      <w:r>
        <w:rPr>
          <w:rFonts w:hint="default" w:ascii="FreeSerif" w:hAnsi="FreeSerif" w:eastAsia="FreeSerif" w:cs="FreeSerif"/>
          <w:snapToGrid/>
          <w:kern w:val="2"/>
          <w:sz w:val="32"/>
          <w:szCs w:val="32"/>
          <w:lang w:val="en-US" w:eastAsia="zh-CN" w:bidi="ar"/>
        </w:rPr>
        <w:t>28</w:t>
      </w:r>
      <w:r>
        <w:rPr>
          <w:rFonts w:hint="default" w:ascii="FreeSerif" w:hAnsi="FreeSerif" w:eastAsia="方正仿宋_GBK" w:cs="FreeSerif"/>
          <w:snapToGrid/>
          <w:kern w:val="2"/>
          <w:sz w:val="32"/>
          <w:szCs w:val="32"/>
          <w:lang w:val="en-US" w:eastAsia="zh-CN" w:bidi="ar"/>
        </w:rPr>
        <w:t>户养殖场已全部完成关闭搬迁任务。实现农药使用量负增长，开展农药减量控害精准施药技术示范，推广应用高效精量喷头（体），全面推广土肥管家app，建立完善全省测土配方施肥白城区域12582大数据库，2020年年底，实现测土配方施肥覆盖率92.2</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（推广面积1233万亩），农药、化肥实际使用量分别下降1.92</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和0.7</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。全市农膜回收率达到87.81</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以上。推进秸秆资源化利用，实施秸秆肥料化、燃料化、饲料化、原料化、基料化综合利用，综合利用率达到81</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。全市农村生态环境监测网络逐步完善，初步建立农业农村生态环境监管信息平台。</w:t>
      </w:r>
    </w:p>
    <w:p>
      <w:pPr>
        <w:pStyle w:val="4"/>
        <w:keepNext w:val="0"/>
        <w:keepLines w:val="0"/>
        <w:widowControl w:val="0"/>
        <w:suppressLineNumbers w:val="0"/>
        <w:overflowPunct w:val="0"/>
        <w:autoSpaceDE w:val="0"/>
        <w:autoSpaceDN/>
        <w:adjustRightInd w:val="0"/>
        <w:snapToGrid w:val="0"/>
        <w:spacing w:line="578" w:lineRule="exact"/>
        <w:ind w:left="0" w:leftChars="0" w:firstLine="643"/>
        <w:jc w:val="both"/>
        <w:outlineLvl w:val="1"/>
        <w:rPr>
          <w:rFonts w:hint="default" w:ascii="FreeSerif" w:hAnsi="FreeSerif" w:eastAsia="方正仿宋_GBK" w:cs="FreeSerif"/>
          <w:kern w:val="2"/>
          <w:sz w:val="32"/>
          <w:szCs w:val="32"/>
        </w:rPr>
      </w:pPr>
      <w:bookmarkStart w:id="3" w:name="_Toc473905068"/>
      <w:r>
        <w:rPr>
          <w:rFonts w:hint="default" w:ascii="FreeSerif" w:hAnsi="FreeSerif" w:eastAsia="方正楷体_GBK" w:cs="FreeSerif"/>
          <w:b w:val="0"/>
          <w:kern w:val="0"/>
          <w:sz w:val="32"/>
          <w:szCs w:val="32"/>
        </w:rPr>
        <w:t>（二）形势研判</w:t>
      </w:r>
      <w:bookmarkEnd w:id="3"/>
      <w:r>
        <w:rPr>
          <w:rFonts w:hint="default" w:ascii="FreeSerif" w:hAnsi="FreeSerif" w:eastAsia="方正楷体_GBK" w:cs="FreeSerif"/>
          <w:b w:val="0"/>
          <w:kern w:val="0"/>
          <w:sz w:val="32"/>
          <w:szCs w:val="32"/>
          <w:lang w:eastAsia="zh-CN"/>
        </w:rPr>
        <w:t>。</w:t>
      </w:r>
      <w:r>
        <w:rPr>
          <w:rFonts w:hint="default" w:ascii="FreeSerif" w:hAnsi="FreeSerif" w:eastAsia="方正仿宋_GBK" w:cs="FreeSerif"/>
          <w:b w:val="0"/>
          <w:bCs w:val="0"/>
          <w:snapToGrid/>
          <w:kern w:val="2"/>
          <w:sz w:val="32"/>
          <w:szCs w:val="32"/>
          <w:lang w:val="en-US" w:eastAsia="zh-CN" w:bidi="ar"/>
        </w:rPr>
        <w:t>在习近平生态文明思想的指</w:t>
      </w:r>
      <w:r>
        <w:rPr>
          <w:rFonts w:hint="eastAsia" w:ascii="方正仿宋_GBK" w:hAnsi="方正仿宋_GBK" w:eastAsia="方正仿宋_GBK" w:cs="方正仿宋_GBK"/>
          <w:b w:val="0"/>
          <w:bCs w:val="0"/>
          <w:snapToGrid/>
          <w:kern w:val="2"/>
          <w:sz w:val="32"/>
          <w:szCs w:val="32"/>
          <w:lang w:val="en-US" w:eastAsia="zh-CN" w:bidi="ar"/>
        </w:rPr>
        <w:t>引下，“绿水青山就是金山银山”的理念不断深入人心，</w:t>
      </w:r>
      <w:r>
        <w:rPr>
          <w:rFonts w:hint="default" w:ascii="FreeSerif" w:hAnsi="FreeSerif" w:eastAsia="方正仿宋_GBK" w:cs="FreeSerif"/>
          <w:b w:val="0"/>
          <w:bCs w:val="0"/>
          <w:snapToGrid/>
          <w:kern w:val="2"/>
          <w:sz w:val="32"/>
          <w:szCs w:val="32"/>
          <w:lang w:val="en-US" w:eastAsia="zh-CN" w:bidi="ar"/>
        </w:rPr>
        <w:t>生态文明建设体制机制逐步健全，土壤、地下水与农业农村生态环境保护政策红利、制度红利不断释放，全社会保护生态环境的合力逐步形成。但生态环境保护结构性、根源性、趋势性压力总体上尚未根本缓解，到2035年实现土壤环境质量稳中向好、地下水环境质量总体改善的目标任务异常艰巨。</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kern w:val="2"/>
          <w:sz w:val="32"/>
          <w:szCs w:val="32"/>
        </w:rPr>
      </w:pPr>
      <w:r>
        <w:rPr>
          <w:rFonts w:hint="eastAsia" w:ascii="方正仿宋_GBK" w:hAnsi="方正仿宋_GBK" w:eastAsia="方正仿宋_GBK" w:cs="方正仿宋_GBK"/>
          <w:snapToGrid/>
          <w:kern w:val="2"/>
          <w:sz w:val="32"/>
          <w:szCs w:val="32"/>
          <w:lang w:val="en-US" w:eastAsia="zh-CN" w:bidi="ar"/>
        </w:rPr>
        <w:t>“十四五”时</w:t>
      </w:r>
      <w:r>
        <w:rPr>
          <w:rFonts w:hint="default" w:ascii="FreeSerif" w:hAnsi="FreeSerif" w:eastAsia="方正仿宋_GBK" w:cs="FreeSerif"/>
          <w:snapToGrid/>
          <w:kern w:val="2"/>
          <w:sz w:val="32"/>
          <w:szCs w:val="32"/>
          <w:lang w:val="en-US" w:eastAsia="zh-CN" w:bidi="ar"/>
        </w:rPr>
        <w:t>期，土壤和地下水生态环境保护形势依然严峻，农业绿色发展处于起步阶段，农业面源污染量大面广，局部区域农村环境质量不容乐观，主要体现在以下几个方面。</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rPr>
          <w:rFonts w:hint="default" w:ascii="FreeSerif" w:hAnsi="FreeSerif" w:eastAsia="方正仿宋_GBK" w:cs="FreeSerif"/>
          <w:kern w:val="2"/>
          <w:sz w:val="32"/>
          <w:szCs w:val="32"/>
        </w:rPr>
      </w:pPr>
      <w:r>
        <w:rPr>
          <w:rFonts w:hint="default" w:ascii="FreeSerif" w:hAnsi="FreeSerif" w:eastAsia="方正仿宋_GBK" w:cs="FreeSerif"/>
          <w:b w:val="0"/>
          <w:snapToGrid/>
          <w:kern w:val="2"/>
          <w:sz w:val="32"/>
          <w:szCs w:val="32"/>
          <w:lang w:val="en-US" w:eastAsia="zh-CN" w:bidi="ar"/>
        </w:rPr>
        <w:t>1．土壤环境风险压力大。</w:t>
      </w:r>
      <w:r>
        <w:rPr>
          <w:rFonts w:hint="default" w:ascii="FreeSerif" w:hAnsi="FreeSerif" w:eastAsia="方正仿宋_GBK" w:cs="FreeSerif"/>
          <w:snapToGrid/>
          <w:kern w:val="2"/>
          <w:sz w:val="32"/>
          <w:szCs w:val="32"/>
          <w:lang w:val="en-US" w:eastAsia="zh-CN" w:bidi="ar"/>
        </w:rPr>
        <w:t>土壤污染防治工作起步较晚，土壤环境监测、监管、治理技术能力依然薄弱。土壤污染状况调查、风险评估、治理修复、效果评估等机制还不完善，与新发展阶段土壤污染防治目标要求还有差距，建设用地准入管理有待深化。</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rPr>
          <w:rFonts w:hint="default" w:ascii="FreeSerif" w:hAnsi="FreeSerif" w:eastAsia="方正仿宋_GBK" w:cs="FreeSerif"/>
          <w:kern w:val="2"/>
          <w:sz w:val="32"/>
          <w:szCs w:val="32"/>
        </w:rPr>
      </w:pPr>
      <w:r>
        <w:rPr>
          <w:rFonts w:hint="default" w:ascii="FreeSerif" w:hAnsi="FreeSerif" w:eastAsia="方正仿宋_GBK" w:cs="FreeSerif"/>
          <w:b w:val="0"/>
          <w:snapToGrid/>
          <w:kern w:val="2"/>
          <w:sz w:val="32"/>
          <w:szCs w:val="32"/>
          <w:lang w:val="en-US" w:eastAsia="zh-CN" w:bidi="ar"/>
        </w:rPr>
        <w:t>2．地下水污染防治基础弱。</w:t>
      </w:r>
      <w:r>
        <w:rPr>
          <w:rFonts w:hint="default" w:ascii="FreeSerif" w:hAnsi="FreeSerif" w:eastAsia="方正仿宋_GBK" w:cs="FreeSerif"/>
          <w:snapToGrid/>
          <w:kern w:val="2"/>
          <w:sz w:val="32"/>
          <w:szCs w:val="32"/>
          <w:lang w:val="en-US" w:eastAsia="zh-CN" w:bidi="ar"/>
        </w:rPr>
        <w:t>地下水污染源环境状况底数不清，基础监测和风险预警体系不健全，污染源风险管控和治理修复难度大，地下水环境管理体系和防控机制尚未全面形成，地下水污染防治工作任务艰巨。</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rPr>
          <w:rFonts w:hint="default" w:ascii="FreeSerif" w:hAnsi="FreeSerif" w:eastAsia="方正仿宋_GBK" w:cs="FreeSerif"/>
          <w:kern w:val="2"/>
          <w:sz w:val="32"/>
          <w:szCs w:val="32"/>
        </w:rPr>
      </w:pPr>
      <w:r>
        <w:rPr>
          <w:rFonts w:hint="default" w:ascii="FreeSerif" w:hAnsi="FreeSerif" w:eastAsia="方正仿宋_GBK" w:cs="FreeSerif"/>
          <w:b w:val="0"/>
          <w:snapToGrid/>
          <w:kern w:val="2"/>
          <w:sz w:val="32"/>
          <w:szCs w:val="32"/>
          <w:lang w:val="en-US" w:eastAsia="zh-CN" w:bidi="ar"/>
        </w:rPr>
        <w:t>3．农业农村生态环境保护任务艰巨。</w:t>
      </w:r>
      <w:r>
        <w:rPr>
          <w:rFonts w:hint="default" w:ascii="FreeSerif" w:hAnsi="FreeSerif" w:eastAsia="方正仿宋_GBK" w:cs="FreeSerif"/>
          <w:snapToGrid/>
          <w:kern w:val="2"/>
          <w:sz w:val="32"/>
          <w:szCs w:val="32"/>
          <w:lang w:val="en-US" w:eastAsia="zh-CN" w:bidi="ar"/>
        </w:rPr>
        <w:t>农村环境是美丽乡村建设的突出短板，截至2020年年底，部分行政村未达到环境整治要求，已整治地区成效还不稳定。农村生活污水处理设施建设滞后，89</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的行政村未完成生活污水治理，资金投入严重缺乏、设施建设不规范、长效机制不健全，部分设施“晒太阳”。农业面源污染防治起步较晚、历史欠账多，面临着既要还旧账、又要不欠新账的双重压力。畜禽养殖场粪污处理和利用方式不够规范，粪污还田利用环境污染风险较大。我市化肥农药使用量仍然偏高，三大粮食作物化肥、农药利用率分别为40</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（试点实验地块）和40</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（试点实验地块），较发达国家低10</w:t>
      </w:r>
      <w:r>
        <w:rPr>
          <w:rFonts w:hint="eastAsia" w:ascii="FreeSerif" w:hAnsi="FreeSerif" w:eastAsia="方正仿宋_GBK" w:cs="FreeSerif"/>
          <w:snapToGrid/>
          <w:kern w:val="2"/>
          <w:sz w:val="32"/>
          <w:szCs w:val="32"/>
          <w:lang w:val="en-US" w:eastAsia="zh-CN" w:bidi="ar"/>
        </w:rPr>
        <w:t>～</w:t>
      </w:r>
      <w:bookmarkStart w:id="18" w:name="_GoBack"/>
      <w:bookmarkEnd w:id="18"/>
      <w:r>
        <w:rPr>
          <w:rFonts w:hint="default" w:ascii="FreeSerif" w:hAnsi="FreeSerif" w:eastAsia="方正仿宋_GBK" w:cs="FreeSerif"/>
          <w:snapToGrid/>
          <w:kern w:val="2"/>
          <w:sz w:val="32"/>
          <w:szCs w:val="32"/>
          <w:lang w:val="en-US" w:eastAsia="zh-CN" w:bidi="ar"/>
        </w:rPr>
        <w:t>20个百分点。氮肥等农业投入品过量施用，导致土壤酸化加重并加大农产品超标的风险。</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rPr>
          <w:rFonts w:hint="default" w:ascii="FreeSerif" w:hAnsi="FreeSerif" w:eastAsia="方正仿宋_GBK" w:cs="FreeSerif"/>
          <w:kern w:val="2"/>
          <w:sz w:val="32"/>
          <w:szCs w:val="32"/>
        </w:rPr>
      </w:pPr>
      <w:r>
        <w:rPr>
          <w:rFonts w:hint="default" w:ascii="FreeSerif" w:hAnsi="FreeSerif" w:eastAsia="方正仿宋_GBK" w:cs="FreeSerif"/>
          <w:b w:val="0"/>
          <w:snapToGrid/>
          <w:kern w:val="2"/>
          <w:sz w:val="32"/>
          <w:szCs w:val="32"/>
          <w:lang w:val="en-US" w:eastAsia="zh-CN" w:bidi="ar"/>
        </w:rPr>
        <w:t>4．环境监管能力依然薄弱。</w:t>
      </w:r>
      <w:r>
        <w:rPr>
          <w:rFonts w:hint="default" w:ascii="FreeSerif" w:hAnsi="FreeSerif" w:eastAsia="方正仿宋_GBK" w:cs="FreeSerif"/>
          <w:snapToGrid/>
          <w:kern w:val="2"/>
          <w:sz w:val="32"/>
          <w:szCs w:val="32"/>
          <w:lang w:val="en-US" w:eastAsia="zh-CN" w:bidi="ar"/>
        </w:rPr>
        <w:t>土壤与地下水污染风险管控和修复、农村饮用水水源地保护、农村生活污水垃圾治理、农业面源污染治理等监督管理体系尚不健全。土壤、地下水与农业农村生态环境监测能力薄弱，监测网络有待进一步完善，已有监测网分散在各部门，尚未形成统一监测体系。土壤、地下水与农业农村生态环境执法检查工作基础薄弱。地下水突发环境事件应急专家、技术、设备、材料等缺乏。现代化手段在土壤、地下水与农业农村污染防治决策支撑和环境监管中应用不足。土壤、地下水与农业农村生态环境管理技术水平有待进一步提升，人才队伍建设薄弱。对土壤与地下水污染风险管控和修复、农村生活污水垃圾治理、农业面源污染治理监管缺乏专业技术支撑队伍和有效治理模式经验，难以满足工作需要。</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rPr>
          <w:rFonts w:hint="eastAsia" w:ascii="方正仿宋_GBK" w:hAnsi="方正仿宋_GBK" w:eastAsia="方正仿宋_GBK" w:cs="方正仿宋_GBK"/>
          <w:kern w:val="2"/>
          <w:sz w:val="32"/>
          <w:szCs w:val="32"/>
        </w:rPr>
      </w:pPr>
      <w:r>
        <w:rPr>
          <w:rFonts w:hint="default" w:ascii="FreeSerif" w:hAnsi="FreeSerif" w:eastAsia="方正仿宋_GBK" w:cs="FreeSerif"/>
          <w:b w:val="0"/>
          <w:snapToGrid/>
          <w:kern w:val="2"/>
          <w:sz w:val="32"/>
          <w:szCs w:val="32"/>
          <w:lang w:val="en-US" w:eastAsia="zh-CN" w:bidi="ar"/>
        </w:rPr>
        <w:t>5．体制机制有待进一步完善。</w:t>
      </w:r>
      <w:r>
        <w:rPr>
          <w:rFonts w:hint="default" w:ascii="FreeSerif" w:hAnsi="FreeSerif" w:eastAsia="方正仿宋_GBK" w:cs="FreeSerif"/>
          <w:snapToGrid/>
          <w:kern w:val="2"/>
          <w:sz w:val="32"/>
          <w:szCs w:val="32"/>
          <w:lang w:val="en-US" w:eastAsia="zh-CN" w:bidi="ar"/>
        </w:rPr>
        <w:t>有关部门对土壤、地下水与农业农村生态环境保护重视程度不够，责任意识不强。部门间信息共享机制不健全，联动监管有待完善。工业企业土壤和地下水污染防治意识薄弱，生产经营中</w:t>
      </w:r>
      <w:r>
        <w:rPr>
          <w:rFonts w:hint="eastAsia" w:ascii="方正仿宋_GBK" w:hAnsi="方正仿宋_GBK" w:eastAsia="方正仿宋_GBK" w:cs="方正仿宋_GBK"/>
          <w:snapToGrid/>
          <w:kern w:val="2"/>
          <w:sz w:val="32"/>
          <w:szCs w:val="32"/>
          <w:lang w:val="en-US" w:eastAsia="zh-CN" w:bidi="ar"/>
        </w:rPr>
        <w:t>“重水、气，轻土壤及地下水”的情况普遍存在，未建立有效的土壤、地下水环境管理体系。农村环境基础设施用地用电优惠政策缺失，村民参与的积极性未能有效调动，农业面源污染防治、农村黑臭水体整治、农村生活污水治理等工作在统筹推进、信息共享、考核督导等方面尚未形成分工协作、齐抓共管的工作局面。</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kern w:val="2"/>
          <w:sz w:val="32"/>
          <w:szCs w:val="32"/>
        </w:rPr>
      </w:pPr>
      <w:r>
        <w:rPr>
          <w:rFonts w:hint="eastAsia" w:ascii="方正仿宋_GBK" w:hAnsi="方正仿宋_GBK" w:eastAsia="方正仿宋_GBK" w:cs="方正仿宋_GBK"/>
          <w:snapToGrid/>
          <w:kern w:val="2"/>
          <w:sz w:val="32"/>
          <w:szCs w:val="32"/>
          <w:lang w:val="en-US" w:eastAsia="zh-CN" w:bidi="ar"/>
        </w:rPr>
        <w:t>“十四五”期间，要充分利用新机遇、新条</w:t>
      </w:r>
      <w:r>
        <w:rPr>
          <w:rFonts w:hint="default" w:ascii="FreeSerif" w:hAnsi="FreeSerif" w:eastAsia="方正仿宋_GBK" w:cs="FreeSerif"/>
          <w:snapToGrid/>
          <w:kern w:val="2"/>
          <w:sz w:val="32"/>
          <w:szCs w:val="32"/>
          <w:lang w:val="en-US" w:eastAsia="zh-CN" w:bidi="ar"/>
        </w:rPr>
        <w:t>件，妥善应对各种风险和挑战，坚定推进土壤、地下水与农业农村生态环境保护，为实现美丽、平安、幸福白城目标奠定坚实基础。</w:t>
      </w:r>
    </w:p>
    <w:p>
      <w:pPr>
        <w:pStyle w:val="3"/>
        <w:keepNext w:val="0"/>
        <w:keepLines w:val="0"/>
        <w:widowControl w:val="0"/>
        <w:suppressLineNumbers w:val="0"/>
        <w:overflowPunct w:val="0"/>
        <w:autoSpaceDE w:val="0"/>
        <w:autoSpaceDN/>
        <w:adjustRightInd w:val="0"/>
        <w:snapToGrid w:val="0"/>
        <w:spacing w:line="578" w:lineRule="exact"/>
        <w:ind w:left="0" w:leftChars="0" w:firstLine="643"/>
        <w:jc w:val="both"/>
        <w:outlineLvl w:val="0"/>
        <w:rPr>
          <w:rFonts w:hint="default" w:ascii="FreeSerif" w:hAnsi="FreeSerif" w:eastAsia="方正黑体_GBK" w:cs="FreeSerif"/>
          <w:b w:val="0"/>
          <w:kern w:val="44"/>
          <w:sz w:val="32"/>
          <w:szCs w:val="32"/>
        </w:rPr>
      </w:pPr>
      <w:bookmarkStart w:id="4" w:name="_Toc1049120752"/>
      <w:r>
        <w:rPr>
          <w:rFonts w:hint="default" w:ascii="FreeSerif" w:hAnsi="FreeSerif" w:eastAsia="方正黑体_GBK" w:cs="FreeSerif"/>
          <w:b w:val="0"/>
          <w:kern w:val="44"/>
          <w:sz w:val="32"/>
          <w:szCs w:val="32"/>
        </w:rPr>
        <w:t>二、指导思想、基本原则、主要目标及防治重点</w:t>
      </w:r>
      <w:bookmarkEnd w:id="4"/>
    </w:p>
    <w:p>
      <w:pPr>
        <w:pStyle w:val="4"/>
        <w:keepNext w:val="0"/>
        <w:keepLines w:val="0"/>
        <w:widowControl w:val="0"/>
        <w:suppressLineNumbers w:val="0"/>
        <w:overflowPunct w:val="0"/>
        <w:autoSpaceDE w:val="0"/>
        <w:autoSpaceDN/>
        <w:adjustRightInd w:val="0"/>
        <w:snapToGrid w:val="0"/>
        <w:spacing w:line="578" w:lineRule="exact"/>
        <w:ind w:left="0" w:leftChars="0" w:firstLine="643"/>
        <w:jc w:val="both"/>
        <w:outlineLvl w:val="1"/>
        <w:rPr>
          <w:rFonts w:hint="default" w:ascii="FreeSerif" w:hAnsi="FreeSerif" w:eastAsia="方正仿宋_GBK" w:cs="FreeSerif"/>
          <w:b w:val="0"/>
          <w:kern w:val="2"/>
          <w:sz w:val="32"/>
          <w:szCs w:val="32"/>
        </w:rPr>
      </w:pPr>
      <w:bookmarkStart w:id="5" w:name="_Toc947068990"/>
      <w:r>
        <w:rPr>
          <w:rFonts w:hint="default" w:ascii="FreeSerif" w:hAnsi="FreeSerif" w:eastAsia="方正楷体_GBK" w:cs="FreeSerif"/>
          <w:b w:val="0"/>
          <w:kern w:val="0"/>
          <w:sz w:val="32"/>
          <w:szCs w:val="32"/>
        </w:rPr>
        <w:t>（一）指导思想</w:t>
      </w:r>
      <w:bookmarkEnd w:id="5"/>
      <w:r>
        <w:rPr>
          <w:rFonts w:hint="default" w:ascii="FreeSerif" w:hAnsi="FreeSerif" w:eastAsia="方正楷体_GBK" w:cs="FreeSerif"/>
          <w:b w:val="0"/>
          <w:kern w:val="0"/>
          <w:sz w:val="32"/>
          <w:szCs w:val="32"/>
          <w:lang w:eastAsia="zh-CN"/>
        </w:rPr>
        <w:t>。</w:t>
      </w:r>
      <w:r>
        <w:rPr>
          <w:rFonts w:hint="default" w:ascii="FreeSerif" w:hAnsi="FreeSerif" w:eastAsia="方正仿宋_GBK" w:cs="FreeSerif"/>
          <w:b w:val="0"/>
          <w:snapToGrid/>
          <w:kern w:val="2"/>
          <w:sz w:val="32"/>
          <w:szCs w:val="32"/>
          <w:lang w:val="en-US" w:eastAsia="zh-CN" w:bidi="ar"/>
        </w:rPr>
        <w:t>以习近平新时代中国特色社会主义思想为指导，全面贯彻党的二十大精神，大力推行习近平生态文明建设，贯彻以人民为中心的发展思想，牢固树立和践行绿水青山就是金山银山的理念，站在人与自然和谐共生的高度谋划发展。坚持山水林田湖草沙一体化保护和系统治理，统筹产业结构调整、污染治理、生态保护、应对气候变化，协同推进降碳、减污、扩绿、增长，推进生态优先、节约集约、绿色低碳发展。深入推进环境污染防治，持续深入打好净土保卫战，加强土壤污染源头防控，提升环境基础设施建设水平，推进城乡人居环境整治。响应人民群众对美好生态环境的新期待。</w:t>
      </w:r>
    </w:p>
    <w:p>
      <w:pPr>
        <w:pStyle w:val="4"/>
        <w:keepNext w:val="0"/>
        <w:keepLines w:val="0"/>
        <w:widowControl w:val="0"/>
        <w:suppressLineNumbers w:val="0"/>
        <w:overflowPunct w:val="0"/>
        <w:autoSpaceDE w:val="0"/>
        <w:autoSpaceDN/>
        <w:adjustRightInd w:val="0"/>
        <w:snapToGrid w:val="0"/>
        <w:spacing w:line="578" w:lineRule="exact"/>
        <w:ind w:left="0" w:leftChars="0" w:firstLine="643"/>
        <w:jc w:val="both"/>
        <w:outlineLvl w:val="1"/>
        <w:rPr>
          <w:rFonts w:hint="default" w:ascii="FreeSerif" w:hAnsi="FreeSerif" w:eastAsia="方正仿宋_GBK" w:cs="FreeSerif"/>
          <w:b w:val="0"/>
          <w:bCs/>
          <w:kern w:val="2"/>
          <w:sz w:val="32"/>
          <w:szCs w:val="32"/>
        </w:rPr>
      </w:pPr>
      <w:bookmarkStart w:id="6" w:name="_Toc771174618"/>
      <w:r>
        <w:rPr>
          <w:rFonts w:hint="default" w:ascii="FreeSerif" w:hAnsi="FreeSerif" w:eastAsia="方正楷体_GBK" w:cs="FreeSerif"/>
          <w:b w:val="0"/>
          <w:kern w:val="0"/>
          <w:sz w:val="32"/>
          <w:szCs w:val="32"/>
        </w:rPr>
        <w:t>（二）基本原则</w:t>
      </w:r>
      <w:bookmarkEnd w:id="6"/>
      <w:r>
        <w:rPr>
          <w:rFonts w:hint="default" w:ascii="FreeSerif" w:hAnsi="FreeSerif" w:eastAsia="方正楷体_GBK" w:cs="FreeSerif"/>
          <w:b w:val="0"/>
          <w:kern w:val="0"/>
          <w:sz w:val="32"/>
          <w:szCs w:val="32"/>
          <w:lang w:eastAsia="zh-CN"/>
        </w:rPr>
        <w:t>。</w:t>
      </w:r>
      <w:r>
        <w:rPr>
          <w:rFonts w:hint="default" w:ascii="FreeSerif" w:hAnsi="FreeSerif" w:eastAsia="方正仿宋_GBK" w:cs="FreeSerif"/>
          <w:b w:val="0"/>
          <w:bCs/>
          <w:kern w:val="0"/>
          <w:sz w:val="32"/>
          <w:szCs w:val="32"/>
          <w:lang w:eastAsia="zh-CN"/>
        </w:rPr>
        <w:t>一是</w:t>
      </w:r>
      <w:r>
        <w:rPr>
          <w:rFonts w:hint="default" w:ascii="FreeSerif" w:hAnsi="FreeSerif" w:eastAsia="方正仿宋_GBK" w:cs="FreeSerif"/>
          <w:b w:val="0"/>
          <w:bCs/>
          <w:snapToGrid/>
          <w:kern w:val="2"/>
          <w:sz w:val="32"/>
          <w:szCs w:val="32"/>
          <w:lang w:val="en-US" w:eastAsia="zh-CN" w:bidi="ar"/>
        </w:rPr>
        <w:t>保护优先，预防为主。理顺源头预防压力传导机制，倒逼落实溯源、断源、减排措施，切断污染物进入土壤、地下水环境的途径。强化农村环境整治，深入实施农药、化肥减量化，推进农业生产清洁化、产业模式生态化。二是系统治理，防控风险。打通地上和地下、城市和农村，协同水、气、固体废物污染治理，系统实施生态修复与环境治理。坚决守住农产品质量、人居环境和地下水生态环境安全底线，健全“发现问题、解决问题”风险管控机制。三是问题导向，精准施策。抓住重点区域、重点行业和重点污染物，聚焦突出环境问题，结合经济社会发展水平，因地制宜制定差异化土壤、地下水与农业农村污染防治措施，分类施策、分阶段整治。四是强化监管，依法治污。完善土壤、地下水与农业农村污染防治法规标准体系，加强执法能力建设，</w:t>
      </w:r>
      <w:r>
        <w:rPr>
          <w:rFonts w:hint="eastAsia" w:ascii="方正仿宋_GBK" w:hAnsi="方正仿宋_GBK" w:eastAsia="方正仿宋_GBK" w:cs="方正仿宋_GBK"/>
          <w:b w:val="0"/>
          <w:bCs/>
          <w:snapToGrid/>
          <w:kern w:val="2"/>
          <w:sz w:val="32"/>
          <w:szCs w:val="32"/>
          <w:lang w:val="en-US" w:eastAsia="zh-CN" w:bidi="ar"/>
        </w:rPr>
        <w:t>强化“污染者担责”</w:t>
      </w:r>
      <w:r>
        <w:rPr>
          <w:rFonts w:hint="default" w:ascii="FreeSerif" w:hAnsi="FreeSerif" w:eastAsia="方正仿宋_GBK" w:cs="FreeSerif"/>
          <w:b w:val="0"/>
          <w:bCs/>
          <w:snapToGrid/>
          <w:kern w:val="2"/>
          <w:sz w:val="32"/>
          <w:szCs w:val="32"/>
          <w:lang w:val="en-US" w:eastAsia="zh-CN" w:bidi="ar"/>
        </w:rPr>
        <w:t>。完善环境监测网络，健全污染防治大数据平台，提升污染治理科学化、智慧化水平，强化科技支撑能力。</w:t>
      </w:r>
    </w:p>
    <w:p>
      <w:pPr>
        <w:pStyle w:val="4"/>
        <w:keepNext w:val="0"/>
        <w:keepLines w:val="0"/>
        <w:widowControl w:val="0"/>
        <w:suppressLineNumbers w:val="0"/>
        <w:overflowPunct w:val="0"/>
        <w:autoSpaceDE w:val="0"/>
        <w:autoSpaceDN/>
        <w:adjustRightInd w:val="0"/>
        <w:snapToGrid w:val="0"/>
        <w:spacing w:line="578" w:lineRule="exact"/>
        <w:ind w:left="0" w:leftChars="0" w:firstLine="643"/>
        <w:jc w:val="both"/>
        <w:outlineLvl w:val="1"/>
        <w:rPr>
          <w:rFonts w:hint="default" w:ascii="FreeSerif" w:hAnsi="FreeSerif" w:eastAsia="方正仿宋_GBK" w:cs="FreeSerif"/>
          <w:b w:val="0"/>
          <w:bCs w:val="0"/>
          <w:kern w:val="2"/>
          <w:sz w:val="32"/>
          <w:szCs w:val="32"/>
        </w:rPr>
      </w:pPr>
      <w:bookmarkStart w:id="7" w:name="_Toc322267933"/>
      <w:r>
        <w:rPr>
          <w:rFonts w:hint="default" w:ascii="FreeSerif" w:hAnsi="FreeSerif" w:eastAsia="方正楷体_GBK" w:cs="FreeSerif"/>
          <w:b w:val="0"/>
          <w:kern w:val="0"/>
          <w:sz w:val="32"/>
          <w:szCs w:val="32"/>
        </w:rPr>
        <w:t>（三）主要目标</w:t>
      </w:r>
      <w:bookmarkEnd w:id="7"/>
      <w:r>
        <w:rPr>
          <w:rFonts w:hint="default" w:ascii="FreeSerif" w:hAnsi="FreeSerif" w:eastAsia="方正楷体_GBK" w:cs="FreeSerif"/>
          <w:b w:val="0"/>
          <w:kern w:val="0"/>
          <w:sz w:val="32"/>
          <w:szCs w:val="32"/>
          <w:lang w:eastAsia="zh-CN"/>
        </w:rPr>
        <w:t>。</w:t>
      </w:r>
      <w:r>
        <w:rPr>
          <w:rFonts w:hint="default" w:ascii="FreeSerif" w:hAnsi="FreeSerif" w:eastAsia="方正仿宋_GBK" w:cs="FreeSerif"/>
          <w:b w:val="0"/>
          <w:bCs w:val="0"/>
          <w:snapToGrid/>
          <w:kern w:val="2"/>
          <w:sz w:val="32"/>
          <w:szCs w:val="32"/>
          <w:lang w:val="en-US" w:eastAsia="zh-CN" w:bidi="ar"/>
        </w:rPr>
        <w:t>到2025年，全市土壤和地下水环境质量总体保持稳定，局部稳中向好，受污染耕地和重点建设用地安全利用得到巩固提升，进一步保障老</w:t>
      </w:r>
      <w:r>
        <w:rPr>
          <w:rFonts w:hint="eastAsia" w:ascii="方正仿宋_GBK" w:hAnsi="方正仿宋_GBK" w:eastAsia="方正仿宋_GBK" w:cs="方正仿宋_GBK"/>
          <w:b w:val="0"/>
          <w:bCs w:val="0"/>
          <w:snapToGrid/>
          <w:kern w:val="2"/>
          <w:sz w:val="32"/>
          <w:szCs w:val="32"/>
          <w:lang w:val="en-US" w:eastAsia="zh-CN" w:bidi="ar"/>
        </w:rPr>
        <w:t>百姓“吃得放心、住得安心”</w:t>
      </w:r>
      <w:r>
        <w:rPr>
          <w:rFonts w:hint="default" w:ascii="FreeSerif" w:hAnsi="FreeSerif" w:eastAsia="方正仿宋_GBK" w:cs="FreeSerif"/>
          <w:b w:val="0"/>
          <w:bCs w:val="0"/>
          <w:snapToGrid/>
          <w:kern w:val="2"/>
          <w:sz w:val="32"/>
          <w:szCs w:val="32"/>
          <w:lang w:val="en-US" w:eastAsia="zh-CN" w:bidi="ar"/>
        </w:rPr>
        <w:t>。基本建成地下水环境监测网。农业面源污染得到初步管控，农村生态环境基础设施建设加快推进，农村生态环境持续改善。</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kern w:val="2"/>
          <w:sz w:val="32"/>
          <w:szCs w:val="32"/>
        </w:rPr>
      </w:pPr>
      <w:r>
        <w:rPr>
          <w:rFonts w:hint="default" w:ascii="FreeSerif" w:hAnsi="FreeSerif" w:eastAsia="方正仿宋_GBK" w:cs="FreeSerif"/>
          <w:snapToGrid/>
          <w:kern w:val="2"/>
          <w:sz w:val="32"/>
          <w:szCs w:val="32"/>
          <w:lang w:val="en-US" w:eastAsia="zh-CN" w:bidi="ar"/>
        </w:rPr>
        <w:t>到2035年，全市土壤环境质量稳中向好，农用地和重点建设用地土壤环境安全得到有效保障，土壤环境风险得到全面管控。全市地下水环境质量保持稳定。农业面源污染得到有效遏制，农村生态环境基础设施得到完善，生态宜居的美丽乡村基本实现。</w:t>
      </w: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snapToGrid/>
          <w:kern w:val="0"/>
          <w:sz w:val="24"/>
          <w:szCs w:val="24"/>
          <w:lang w:val="en-US" w:eastAsia="zh-CN" w:bidi="ar"/>
        </w:rPr>
      </w:pP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snapToGrid/>
          <w:kern w:val="0"/>
          <w:sz w:val="24"/>
          <w:szCs w:val="24"/>
          <w:lang w:val="en-US" w:eastAsia="zh-CN" w:bidi="ar"/>
        </w:rPr>
      </w:pP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snapToGrid/>
          <w:kern w:val="0"/>
          <w:sz w:val="24"/>
          <w:szCs w:val="24"/>
          <w:lang w:val="en-US" w:eastAsia="zh-CN" w:bidi="ar"/>
        </w:rPr>
      </w:pP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snapToGrid/>
          <w:kern w:val="0"/>
          <w:sz w:val="24"/>
          <w:szCs w:val="24"/>
          <w:lang w:val="en-US" w:eastAsia="zh-CN" w:bidi="ar"/>
        </w:rPr>
      </w:pP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snapToGrid/>
          <w:kern w:val="0"/>
          <w:sz w:val="24"/>
          <w:szCs w:val="24"/>
          <w:lang w:val="en-US" w:eastAsia="zh-CN" w:bidi="ar"/>
        </w:rPr>
      </w:pP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snapToGrid/>
          <w:kern w:val="0"/>
          <w:sz w:val="24"/>
          <w:szCs w:val="24"/>
          <w:lang w:val="en-US" w:eastAsia="zh-CN" w:bidi="ar"/>
        </w:rPr>
      </w:pP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snapToGrid/>
          <w:kern w:val="0"/>
          <w:sz w:val="24"/>
          <w:szCs w:val="24"/>
          <w:lang w:val="en-US" w:eastAsia="zh-CN" w:bidi="ar"/>
        </w:rPr>
      </w:pPr>
    </w:p>
    <w:p>
      <w:pPr>
        <w:pStyle w:val="10"/>
        <w:keepNext w:val="0"/>
        <w:keepLines w:val="0"/>
        <w:widowControl w:val="0"/>
        <w:suppressLineNumbers w:val="0"/>
        <w:overflowPunct w:val="0"/>
        <w:autoSpaceDE w:val="0"/>
        <w:autoSpaceDN/>
        <w:adjustRightInd w:val="0"/>
        <w:snapToGrid w:val="0"/>
        <w:spacing w:before="0" w:beforeAutospacing="0" w:after="0" w:afterAutospacing="0" w:line="440" w:lineRule="exact"/>
        <w:ind w:left="0" w:leftChars="0" w:right="0" w:firstLine="0" w:firstLineChars="0"/>
        <w:jc w:val="center"/>
        <w:rPr>
          <w:rFonts w:hint="default" w:ascii="FreeSerif" w:hAnsi="FreeSerif" w:eastAsia="方正黑体_GBK" w:cs="FreeSerif"/>
          <w:b w:val="0"/>
          <w:kern w:val="0"/>
          <w:sz w:val="24"/>
          <w:szCs w:val="24"/>
          <w:vertAlign w:val="superscript"/>
        </w:rPr>
      </w:pPr>
      <w:r>
        <w:rPr>
          <w:rFonts w:hint="default" w:ascii="FreeSerif" w:hAnsi="FreeSerif" w:eastAsia="方正黑体_GBK" w:cs="FreeSerif"/>
          <w:b w:val="0"/>
          <w:snapToGrid/>
          <w:kern w:val="0"/>
          <w:sz w:val="24"/>
          <w:szCs w:val="24"/>
          <w:lang w:val="en-US" w:eastAsia="zh-CN" w:bidi="ar"/>
        </w:rPr>
        <w:t>表1  “十四五”土壤、地下水与农业农村生态环境保护主要指标</w:t>
      </w:r>
    </w:p>
    <w:tbl>
      <w:tblPr>
        <w:tblStyle w:val="11"/>
        <w:tblW w:w="50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8"/>
        <w:gridCol w:w="2518"/>
        <w:gridCol w:w="1839"/>
        <w:gridCol w:w="230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0" w:beforeAutospacing="0" w:after="100" w:afterAutospacing="1" w:line="0" w:lineRule="atLeast"/>
              <w:ind w:left="0" w:leftChars="0" w:right="0" w:firstLine="0" w:firstLineChars="0"/>
              <w:jc w:val="center"/>
              <w:rPr>
                <w:rFonts w:hint="default" w:ascii="FreeSerif" w:hAnsi="FreeSerif" w:eastAsia="方正黑体_GBK" w:cs="FreeSerif"/>
                <w:spacing w:val="0"/>
                <w:kern w:val="2"/>
                <w:sz w:val="20"/>
                <w:szCs w:val="20"/>
              </w:rPr>
            </w:pPr>
            <w:r>
              <w:rPr>
                <w:rFonts w:hint="default" w:ascii="FreeSerif" w:hAnsi="FreeSerif" w:eastAsia="方正黑体_GBK" w:cs="FreeSerif"/>
                <w:snapToGrid/>
                <w:spacing w:val="0"/>
                <w:kern w:val="2"/>
                <w:sz w:val="20"/>
                <w:szCs w:val="20"/>
                <w:lang w:val="en-US" w:eastAsia="zh-CN" w:bidi="ar"/>
              </w:rPr>
              <w:t>类型</w:t>
            </w: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0" w:beforeAutospacing="0" w:after="100" w:afterAutospacing="1" w:line="0" w:lineRule="atLeast"/>
              <w:ind w:left="0" w:leftChars="0" w:right="0" w:firstLine="0" w:firstLineChars="0"/>
              <w:jc w:val="center"/>
              <w:rPr>
                <w:rFonts w:hint="default" w:ascii="FreeSerif" w:hAnsi="FreeSerif" w:eastAsia="方正黑体_GBK" w:cs="FreeSerif"/>
                <w:spacing w:val="0"/>
                <w:kern w:val="2"/>
                <w:sz w:val="20"/>
                <w:szCs w:val="20"/>
              </w:rPr>
            </w:pPr>
            <w:r>
              <w:rPr>
                <w:rFonts w:hint="default" w:ascii="FreeSerif" w:hAnsi="FreeSerif" w:eastAsia="方正黑体_GBK" w:cs="FreeSerif"/>
                <w:snapToGrid/>
                <w:spacing w:val="0"/>
                <w:kern w:val="2"/>
                <w:sz w:val="20"/>
                <w:szCs w:val="20"/>
                <w:lang w:val="en-US" w:eastAsia="zh-CN" w:bidi="ar"/>
              </w:rPr>
              <w:t>指标名称</w:t>
            </w:r>
          </w:p>
        </w:tc>
        <w:tc>
          <w:tcPr>
            <w:tcW w:w="1839"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0" w:beforeAutospacing="0" w:after="100" w:afterAutospacing="1" w:line="0" w:lineRule="atLeast"/>
              <w:ind w:left="0" w:leftChars="0" w:right="0" w:firstLine="0" w:firstLineChars="0"/>
              <w:jc w:val="center"/>
              <w:rPr>
                <w:rFonts w:hint="default" w:ascii="FreeSerif" w:hAnsi="FreeSerif" w:eastAsia="方正黑体_GBK" w:cs="FreeSerif"/>
                <w:spacing w:val="0"/>
                <w:kern w:val="2"/>
                <w:sz w:val="20"/>
                <w:szCs w:val="20"/>
              </w:rPr>
            </w:pPr>
            <w:r>
              <w:rPr>
                <w:rFonts w:hint="default" w:ascii="FreeSerif" w:hAnsi="FreeSerif" w:eastAsia="方正黑体_GBK" w:cs="FreeSerif"/>
                <w:snapToGrid/>
                <w:spacing w:val="0"/>
                <w:kern w:val="2"/>
                <w:sz w:val="20"/>
                <w:szCs w:val="20"/>
                <w:lang w:val="en-US" w:eastAsia="zh-CN" w:bidi="ar"/>
              </w:rPr>
              <w:t>2020年（现状值）</w:t>
            </w:r>
          </w:p>
        </w:tc>
        <w:tc>
          <w:tcPr>
            <w:tcW w:w="2309"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0" w:beforeAutospacing="0" w:after="100" w:afterAutospacing="1" w:line="0" w:lineRule="atLeast"/>
              <w:ind w:left="0" w:leftChars="0" w:right="0" w:firstLine="0" w:firstLineChars="0"/>
              <w:jc w:val="center"/>
              <w:rPr>
                <w:rFonts w:hint="default" w:ascii="FreeSerif" w:hAnsi="FreeSerif" w:eastAsia="方正黑体_GBK" w:cs="FreeSerif"/>
                <w:spacing w:val="0"/>
                <w:kern w:val="2"/>
                <w:sz w:val="20"/>
                <w:szCs w:val="20"/>
              </w:rPr>
            </w:pPr>
            <w:r>
              <w:rPr>
                <w:rFonts w:hint="default" w:ascii="FreeSerif" w:hAnsi="FreeSerif" w:eastAsia="方正黑体_GBK" w:cs="FreeSerif"/>
                <w:snapToGrid/>
                <w:spacing w:val="0"/>
                <w:kern w:val="2"/>
                <w:sz w:val="20"/>
                <w:szCs w:val="20"/>
                <w:lang w:val="en-US" w:eastAsia="zh-CN" w:bidi="ar"/>
              </w:rPr>
              <w:t>2025年</w:t>
            </w:r>
          </w:p>
        </w:tc>
        <w:tc>
          <w:tcPr>
            <w:tcW w:w="1304"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0" w:beforeAutospacing="0" w:after="100" w:afterAutospacing="1" w:line="0" w:lineRule="atLeast"/>
              <w:ind w:left="0" w:leftChars="0" w:right="0" w:firstLine="0" w:firstLineChars="0"/>
              <w:jc w:val="center"/>
              <w:rPr>
                <w:rFonts w:hint="default" w:ascii="FreeSerif" w:hAnsi="FreeSerif" w:eastAsia="方正黑体_GBK" w:cs="FreeSerif"/>
                <w:spacing w:val="0"/>
                <w:kern w:val="2"/>
                <w:sz w:val="20"/>
                <w:szCs w:val="20"/>
              </w:rPr>
            </w:pPr>
            <w:r>
              <w:rPr>
                <w:rFonts w:hint="default" w:ascii="FreeSerif" w:hAnsi="FreeSerif" w:eastAsia="方正黑体_GBK" w:cs="FreeSerif"/>
                <w:snapToGrid/>
                <w:spacing w:val="0"/>
                <w:kern w:val="2"/>
                <w:sz w:val="20"/>
                <w:szCs w:val="20"/>
                <w:lang w:val="en-US" w:eastAsia="zh-CN" w:bidi="ar"/>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restart"/>
            <w:tcBorders>
              <w:top w:val="nil"/>
              <w:left w:val="single" w:color="auto" w:sz="4" w:space="0"/>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土壤</w:t>
            </w:r>
          </w:p>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生态环境</w:t>
            </w: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受污染耕地安全利用率</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90%以上</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95.2%以上</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FreeSerif" w:hAnsi="FreeSerif" w:cs="FreeSerif"/>
                <w:sz w:val="20"/>
                <w:szCs w:val="20"/>
              </w:rPr>
            </w:pP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重点建设用地</w:t>
            </w:r>
            <w:r>
              <w:rPr>
                <w:rFonts w:hint="default" w:ascii="FreeSerif" w:hAnsi="FreeSerif" w:eastAsia="方正仿宋_GBK" w:cs="FreeSerif"/>
                <w:b w:val="0"/>
                <w:snapToGrid/>
                <w:spacing w:val="0"/>
                <w:kern w:val="2"/>
                <w:sz w:val="18"/>
                <w:szCs w:val="18"/>
                <w:vertAlign w:val="superscript"/>
                <w:lang w:val="en-US" w:eastAsia="zh-CN" w:bidi="ar"/>
              </w:rPr>
              <w:t>1</w:t>
            </w:r>
            <w:r>
              <w:rPr>
                <w:rFonts w:hint="default" w:ascii="FreeSerif" w:hAnsi="FreeSerif" w:eastAsia="方正仿宋_GBK" w:cs="FreeSerif"/>
                <w:b w:val="0"/>
                <w:snapToGrid/>
                <w:spacing w:val="0"/>
                <w:kern w:val="2"/>
                <w:sz w:val="18"/>
                <w:szCs w:val="18"/>
                <w:lang w:val="en-US" w:eastAsia="zh-CN" w:bidi="ar"/>
              </w:rPr>
              <w:t>安全利用</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有效保障</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restart"/>
            <w:tcBorders>
              <w:top w:val="nil"/>
              <w:left w:val="single" w:color="auto" w:sz="4" w:space="0"/>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地下水</w:t>
            </w:r>
          </w:p>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生态环境</w:t>
            </w: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0" w:lineRule="atLeast"/>
              <w:ind w:left="0" w:leftChars="0" w:right="0" w:firstLine="0" w:firstLineChars="0"/>
              <w:jc w:val="center"/>
              <w:textAlignment w:val="auto"/>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地下水国控点位</w:t>
            </w:r>
          </w:p>
          <w:p>
            <w:pPr>
              <w:pStyle w:val="10"/>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0" w:lineRule="atLeast"/>
              <w:ind w:left="0" w:leftChars="0" w:right="0" w:firstLine="0" w:firstLineChars="0"/>
              <w:jc w:val="center"/>
              <w:textAlignment w:val="auto"/>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V类水比例</w:t>
            </w:r>
            <w:r>
              <w:rPr>
                <w:rFonts w:hint="default" w:ascii="FreeSerif" w:hAnsi="FreeSerif" w:eastAsia="方正仿宋_GBK" w:cs="FreeSerif"/>
                <w:b w:val="0"/>
                <w:snapToGrid/>
                <w:spacing w:val="0"/>
                <w:kern w:val="2"/>
                <w:sz w:val="18"/>
                <w:szCs w:val="18"/>
                <w:vertAlign w:val="superscript"/>
                <w:lang w:val="en-US" w:eastAsia="zh-CN" w:bidi="ar"/>
              </w:rPr>
              <w:t>2</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25%左右</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33.3%左右</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FreeSerif" w:hAnsi="FreeSerif" w:cs="FreeSerif"/>
                <w:sz w:val="20"/>
                <w:szCs w:val="20"/>
              </w:rPr>
            </w:pP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“双源”</w:t>
            </w:r>
            <w:r>
              <w:rPr>
                <w:rFonts w:hint="default" w:ascii="FreeSerif" w:hAnsi="FreeSerif" w:eastAsia="方正仿宋_GBK" w:cs="FreeSerif"/>
                <w:b w:val="0"/>
                <w:snapToGrid/>
                <w:spacing w:val="0"/>
                <w:kern w:val="2"/>
                <w:sz w:val="18"/>
                <w:szCs w:val="18"/>
                <w:vertAlign w:val="superscript"/>
                <w:lang w:val="en-US" w:eastAsia="zh-CN" w:bidi="ar"/>
              </w:rPr>
              <w:t>3</w:t>
            </w:r>
            <w:r>
              <w:rPr>
                <w:rFonts w:hint="default" w:ascii="FreeSerif" w:hAnsi="FreeSerif" w:eastAsia="方正仿宋_GBK" w:cs="FreeSerif"/>
                <w:b w:val="0"/>
                <w:snapToGrid/>
                <w:spacing w:val="0"/>
                <w:kern w:val="2"/>
                <w:sz w:val="18"/>
                <w:szCs w:val="18"/>
                <w:lang w:val="en-US" w:eastAsia="zh-CN" w:bidi="ar"/>
              </w:rPr>
              <w:t>点位水质</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总体保持稳定</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restart"/>
            <w:tcBorders>
              <w:top w:val="nil"/>
              <w:left w:val="single" w:color="auto" w:sz="4" w:space="0"/>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农业农村</w:t>
            </w:r>
          </w:p>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spacing w:val="0"/>
                <w:kern w:val="2"/>
                <w:sz w:val="18"/>
                <w:szCs w:val="18"/>
              </w:rPr>
            </w:pPr>
            <w:r>
              <w:rPr>
                <w:rFonts w:hint="default" w:ascii="FreeSerif" w:hAnsi="FreeSerif" w:eastAsia="方正仿宋_GBK" w:cs="FreeSerif"/>
                <w:snapToGrid/>
                <w:spacing w:val="0"/>
                <w:kern w:val="2"/>
                <w:sz w:val="18"/>
                <w:szCs w:val="18"/>
                <w:lang w:val="en-US" w:eastAsia="zh-CN" w:bidi="ar"/>
              </w:rPr>
              <w:t>生态环境</w:t>
            </w: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农村生活污水治理率</w:t>
            </w:r>
            <w:r>
              <w:rPr>
                <w:rFonts w:hint="default" w:ascii="FreeSerif" w:hAnsi="FreeSerif" w:eastAsia="方正仿宋_GBK" w:cs="FreeSerif"/>
                <w:b w:val="0"/>
                <w:snapToGrid/>
                <w:spacing w:val="0"/>
                <w:kern w:val="2"/>
                <w:sz w:val="18"/>
                <w:szCs w:val="18"/>
                <w:vertAlign w:val="superscript"/>
                <w:lang w:val="en-US" w:eastAsia="zh-CN" w:bidi="ar"/>
              </w:rPr>
              <w:t>4</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10.99%</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25%</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FreeSerif" w:hAnsi="FreeSerif" w:cs="FreeSerif"/>
                <w:sz w:val="20"/>
                <w:szCs w:val="20"/>
              </w:rPr>
            </w:pP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农村黑臭水体整治率</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80%（基本消除较大面积农村黑臭水体）</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FreeSerif" w:hAnsi="FreeSerif" w:cs="FreeSerif"/>
                <w:sz w:val="20"/>
                <w:szCs w:val="20"/>
              </w:rPr>
            </w:pP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农村环境整治村庄数量</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151</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FreeSerif" w:hAnsi="FreeSerif" w:cs="FreeSerif"/>
                <w:sz w:val="20"/>
                <w:szCs w:val="20"/>
              </w:rPr>
            </w:pP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主要农作物化肥利用率</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43%</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98"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FreeSerif" w:hAnsi="FreeSerif" w:cs="FreeSerif"/>
                <w:sz w:val="20"/>
                <w:szCs w:val="20"/>
              </w:rPr>
            </w:pPr>
          </w:p>
        </w:tc>
        <w:tc>
          <w:tcPr>
            <w:tcW w:w="2518" w:type="dxa"/>
            <w:tcBorders>
              <w:top w:val="single" w:color="auto" w:sz="4" w:space="0"/>
              <w:left w:val="nil"/>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主要农作物农药利用率</w:t>
            </w:r>
          </w:p>
        </w:tc>
        <w:tc>
          <w:tcPr>
            <w:tcW w:w="183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w:t>
            </w:r>
          </w:p>
        </w:tc>
        <w:tc>
          <w:tcPr>
            <w:tcW w:w="2309"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43%</w:t>
            </w:r>
          </w:p>
        </w:tc>
        <w:tc>
          <w:tcPr>
            <w:tcW w:w="1304" w:type="dxa"/>
            <w:tcBorders>
              <w:top w:val="single" w:color="auto" w:sz="4" w:space="0"/>
              <w:left w:val="nil"/>
              <w:bottom w:val="single" w:color="auto" w:sz="4" w:space="0"/>
              <w:right w:val="single" w:color="auto" w:sz="4" w:space="0"/>
            </w:tcBorders>
            <w:noWrap/>
            <w:vAlign w:val="center"/>
          </w:tcPr>
          <w:p>
            <w:pPr>
              <w:pStyle w:val="10"/>
              <w:keepNext w:val="0"/>
              <w:keepLines w:val="0"/>
              <w:widowControl w:val="0"/>
              <w:suppressLineNumbers w:val="0"/>
              <w:overflowPunct w:val="0"/>
              <w:autoSpaceDE w:val="0"/>
              <w:autoSpaceDN/>
              <w:adjustRightInd w:val="0"/>
              <w:snapToGrid w:val="0"/>
              <w:spacing w:before="100" w:beforeAutospacing="1" w:after="100" w:afterAutospacing="1" w:line="0" w:lineRule="atLeast"/>
              <w:ind w:left="0" w:leftChars="0" w:right="0" w:firstLine="0" w:firstLineChars="0"/>
              <w:jc w:val="center"/>
              <w:rPr>
                <w:rFonts w:hint="default" w:ascii="FreeSerif" w:hAnsi="FreeSerif" w:eastAsia="方正仿宋_GBK" w:cs="FreeSerif"/>
                <w:b w:val="0"/>
                <w:spacing w:val="0"/>
                <w:kern w:val="2"/>
                <w:sz w:val="18"/>
                <w:szCs w:val="18"/>
              </w:rPr>
            </w:pPr>
            <w:r>
              <w:rPr>
                <w:rFonts w:hint="default" w:ascii="FreeSerif" w:hAnsi="FreeSerif" w:eastAsia="方正仿宋_GBK" w:cs="FreeSerif"/>
                <w:b w:val="0"/>
                <w:snapToGrid/>
                <w:spacing w:val="0"/>
                <w:kern w:val="2"/>
                <w:sz w:val="18"/>
                <w:szCs w:val="18"/>
                <w:lang w:val="en-US" w:eastAsia="zh-CN" w:bidi="ar"/>
              </w:rPr>
              <w:t>预期性</w:t>
            </w:r>
          </w:p>
        </w:tc>
      </w:tr>
    </w:tbl>
    <w:p>
      <w:pPr>
        <w:keepNext w:val="0"/>
        <w:keepLines w:val="0"/>
        <w:widowControl w:val="0"/>
        <w:suppressLineNumbers w:val="0"/>
        <w:overflowPunct w:val="0"/>
        <w:autoSpaceDE w:val="0"/>
        <w:autoSpaceDN/>
        <w:adjustRightInd w:val="0"/>
        <w:snapToGrid w:val="0"/>
        <w:spacing w:before="0" w:beforeAutospacing="0" w:after="0" w:afterAutospacing="0" w:line="400" w:lineRule="exact"/>
        <w:ind w:left="0" w:leftChars="0" w:right="0" w:firstLine="400" w:firstLineChars="200"/>
        <w:jc w:val="both"/>
        <w:rPr>
          <w:rFonts w:hint="default" w:ascii="FreeSerif" w:hAnsi="FreeSerif" w:eastAsia="方正仿宋_GBK" w:cs="FreeSerif"/>
          <w:b w:val="0"/>
          <w:spacing w:val="0"/>
          <w:kern w:val="2"/>
          <w:sz w:val="20"/>
          <w:szCs w:val="20"/>
        </w:rPr>
      </w:pPr>
      <w:r>
        <w:rPr>
          <w:rFonts w:hint="default" w:ascii="FreeSerif" w:hAnsi="FreeSerif" w:eastAsia="方正仿宋_GBK" w:cs="FreeSerif"/>
          <w:b w:val="0"/>
          <w:snapToGrid/>
          <w:spacing w:val="0"/>
          <w:kern w:val="2"/>
          <w:sz w:val="20"/>
          <w:szCs w:val="20"/>
          <w:lang w:val="en-US" w:eastAsia="zh-CN" w:bidi="ar"/>
        </w:rPr>
        <w:t>注：1．重点建设用地指用途变更为住宅、公共管理与公共服务用地的所有地块。</w:t>
      </w:r>
    </w:p>
    <w:p>
      <w:pPr>
        <w:keepNext w:val="0"/>
        <w:keepLines w:val="0"/>
        <w:widowControl w:val="0"/>
        <w:suppressLineNumbers w:val="0"/>
        <w:overflowPunct w:val="0"/>
        <w:autoSpaceDE w:val="0"/>
        <w:autoSpaceDN/>
        <w:adjustRightInd w:val="0"/>
        <w:snapToGrid w:val="0"/>
        <w:spacing w:before="0" w:beforeAutospacing="0" w:after="0" w:afterAutospacing="0" w:line="400" w:lineRule="exact"/>
        <w:ind w:left="1078" w:leftChars="380" w:right="0" w:hanging="280" w:hangingChars="140"/>
        <w:jc w:val="both"/>
        <w:rPr>
          <w:rFonts w:hint="default" w:ascii="FreeSerif" w:hAnsi="FreeSerif" w:eastAsia="方正仿宋_GBK" w:cs="FreeSerif"/>
          <w:b w:val="0"/>
          <w:spacing w:val="0"/>
          <w:kern w:val="2"/>
          <w:sz w:val="20"/>
          <w:szCs w:val="20"/>
        </w:rPr>
      </w:pPr>
      <w:r>
        <w:rPr>
          <w:rFonts w:hint="default" w:ascii="FreeSerif" w:hAnsi="FreeSerif" w:eastAsia="方正仿宋_GBK" w:cs="FreeSerif"/>
          <w:b w:val="0"/>
          <w:snapToGrid/>
          <w:spacing w:val="0"/>
          <w:kern w:val="2"/>
          <w:sz w:val="20"/>
          <w:szCs w:val="20"/>
          <w:lang w:val="en-US" w:eastAsia="zh-CN" w:bidi="ar"/>
        </w:rPr>
        <w:t>2．地下水国控点位V类水比例指国家级地下水质区域监测点位中，水质为Ⅴ类的点位所占比例。2020年现状值是25</w:t>
      </w:r>
      <w:r>
        <w:rPr>
          <w:rFonts w:hint="default" w:ascii="FreeSerif" w:hAnsi="FreeSerif" w:eastAsia="CESI楷体-GB13000" w:cs="FreeSerif"/>
          <w:b w:val="0"/>
          <w:snapToGrid/>
          <w:spacing w:val="0"/>
          <w:kern w:val="2"/>
          <w:sz w:val="20"/>
          <w:szCs w:val="20"/>
          <w:lang w:val="en-US" w:eastAsia="zh-CN" w:bidi="ar"/>
        </w:rPr>
        <w:t>％</w:t>
      </w:r>
      <w:r>
        <w:rPr>
          <w:rFonts w:hint="default" w:ascii="FreeSerif" w:hAnsi="FreeSerif" w:eastAsia="方正仿宋_GBK" w:cs="FreeSerif"/>
          <w:b w:val="0"/>
          <w:snapToGrid/>
          <w:spacing w:val="0"/>
          <w:kern w:val="2"/>
          <w:sz w:val="20"/>
          <w:szCs w:val="20"/>
          <w:lang w:val="en-US" w:eastAsia="zh-CN" w:bidi="ar"/>
        </w:rPr>
        <w:t>左右，2025年目标值是33.3</w:t>
      </w:r>
      <w:r>
        <w:rPr>
          <w:rFonts w:hint="default" w:ascii="FreeSerif" w:hAnsi="FreeSerif" w:eastAsia="CESI楷体-GB13000" w:cs="FreeSerif"/>
          <w:b w:val="0"/>
          <w:snapToGrid/>
          <w:spacing w:val="0"/>
          <w:kern w:val="2"/>
          <w:sz w:val="20"/>
          <w:szCs w:val="20"/>
          <w:lang w:val="en-US" w:eastAsia="zh-CN" w:bidi="ar"/>
        </w:rPr>
        <w:t>％</w:t>
      </w:r>
      <w:r>
        <w:rPr>
          <w:rFonts w:hint="default" w:ascii="FreeSerif" w:hAnsi="FreeSerif" w:eastAsia="方正仿宋_GBK" w:cs="FreeSerif"/>
          <w:b w:val="0"/>
          <w:snapToGrid/>
          <w:spacing w:val="0"/>
          <w:kern w:val="2"/>
          <w:sz w:val="20"/>
          <w:szCs w:val="20"/>
          <w:lang w:val="en-US" w:eastAsia="zh-CN" w:bidi="ar"/>
        </w:rPr>
        <w:t>左右。</w:t>
      </w:r>
    </w:p>
    <w:p>
      <w:pPr>
        <w:keepNext w:val="0"/>
        <w:keepLines w:val="0"/>
        <w:widowControl w:val="0"/>
        <w:suppressLineNumbers w:val="0"/>
        <w:overflowPunct w:val="0"/>
        <w:autoSpaceDE w:val="0"/>
        <w:autoSpaceDN/>
        <w:adjustRightInd w:val="0"/>
        <w:snapToGrid w:val="0"/>
        <w:spacing w:before="0" w:beforeAutospacing="0" w:after="0" w:afterAutospacing="0" w:line="400" w:lineRule="exact"/>
        <w:ind w:left="0" w:leftChars="0" w:right="0" w:firstLine="800" w:firstLineChars="400"/>
        <w:jc w:val="both"/>
        <w:rPr>
          <w:rFonts w:hint="default" w:ascii="FreeSerif" w:hAnsi="FreeSerif" w:eastAsia="方正仿宋_GBK" w:cs="FreeSerif"/>
          <w:b w:val="0"/>
          <w:snapToGrid/>
          <w:spacing w:val="0"/>
          <w:kern w:val="2"/>
          <w:sz w:val="20"/>
          <w:szCs w:val="20"/>
          <w:lang w:val="en-US" w:eastAsia="zh-CN" w:bidi="ar"/>
        </w:rPr>
      </w:pPr>
      <w:r>
        <w:rPr>
          <w:rFonts w:hint="default" w:ascii="FreeSerif" w:hAnsi="FreeSerif" w:eastAsia="方正仿宋_GBK" w:cs="FreeSerif"/>
          <w:b w:val="0"/>
          <w:snapToGrid/>
          <w:spacing w:val="0"/>
          <w:kern w:val="2"/>
          <w:sz w:val="20"/>
          <w:szCs w:val="20"/>
          <w:lang w:val="en-US" w:eastAsia="zh-CN" w:bidi="ar"/>
        </w:rPr>
        <w:t>3．“双源”即集中式地下水型饮用水源和地下水污染源。</w:t>
      </w:r>
    </w:p>
    <w:p>
      <w:pPr>
        <w:keepNext w:val="0"/>
        <w:keepLines w:val="0"/>
        <w:widowControl w:val="0"/>
        <w:suppressLineNumbers w:val="0"/>
        <w:overflowPunct w:val="0"/>
        <w:autoSpaceDE w:val="0"/>
        <w:autoSpaceDN/>
        <w:adjustRightInd w:val="0"/>
        <w:snapToGrid w:val="0"/>
        <w:spacing w:before="0" w:beforeAutospacing="0" w:after="0" w:afterAutospacing="0" w:line="400" w:lineRule="exact"/>
        <w:ind w:left="0" w:leftChars="0" w:right="0" w:firstLine="800" w:firstLineChars="400"/>
        <w:jc w:val="both"/>
        <w:rPr>
          <w:rFonts w:hint="default" w:ascii="FreeSerif" w:hAnsi="FreeSerif" w:eastAsia="方正仿宋_GBK" w:cs="FreeSerif"/>
          <w:b w:val="0"/>
          <w:spacing w:val="-6"/>
          <w:kern w:val="2"/>
          <w:sz w:val="20"/>
          <w:szCs w:val="20"/>
        </w:rPr>
      </w:pPr>
      <w:r>
        <w:rPr>
          <w:rFonts w:hint="default" w:ascii="FreeSerif" w:hAnsi="FreeSerif" w:eastAsia="方正仿宋_GBK" w:cs="FreeSerif"/>
          <w:b w:val="0"/>
          <w:snapToGrid/>
          <w:spacing w:val="0"/>
          <w:kern w:val="2"/>
          <w:sz w:val="20"/>
          <w:szCs w:val="20"/>
          <w:lang w:val="en-US" w:eastAsia="zh-CN" w:bidi="ar"/>
        </w:rPr>
        <w:t>4．</w:t>
      </w:r>
      <w:r>
        <w:rPr>
          <w:rFonts w:hint="default" w:ascii="FreeSerif" w:hAnsi="FreeSerif" w:eastAsia="方正仿宋_GBK" w:cs="FreeSerif"/>
          <w:b w:val="0"/>
          <w:snapToGrid/>
          <w:spacing w:val="-6"/>
          <w:kern w:val="2"/>
          <w:sz w:val="20"/>
          <w:szCs w:val="20"/>
          <w:lang w:val="en-US" w:eastAsia="zh-CN" w:bidi="ar"/>
        </w:rPr>
        <w:t>农村生活污水治理率是指生活污水得到处理和资源化利用的行政村数占行政村总数的比例。</w:t>
      </w:r>
    </w:p>
    <w:p>
      <w:pPr>
        <w:pStyle w:val="3"/>
        <w:keepNext w:val="0"/>
        <w:keepLines w:val="0"/>
        <w:widowControl/>
        <w:suppressLineNumbers w:val="0"/>
        <w:autoSpaceDE w:val="0"/>
        <w:autoSpaceDN/>
        <w:spacing w:line="578" w:lineRule="exact"/>
        <w:ind w:left="0" w:leftChars="0" w:firstLine="643"/>
        <w:jc w:val="both"/>
        <w:outlineLvl w:val="0"/>
        <w:rPr>
          <w:rFonts w:hint="default" w:ascii="FreeSerif" w:hAnsi="FreeSerif" w:eastAsia="方正黑体_GBK" w:cs="FreeSerif"/>
          <w:b w:val="0"/>
          <w:kern w:val="44"/>
          <w:sz w:val="32"/>
          <w:szCs w:val="32"/>
        </w:rPr>
      </w:pPr>
      <w:bookmarkStart w:id="8" w:name="_Toc1915275397"/>
      <w:r>
        <w:rPr>
          <w:rFonts w:hint="default" w:ascii="FreeSerif" w:hAnsi="FreeSerif" w:eastAsia="方正黑体_GBK" w:cs="FreeSerif"/>
          <w:b w:val="0"/>
          <w:kern w:val="44"/>
          <w:sz w:val="32"/>
          <w:szCs w:val="32"/>
        </w:rPr>
        <w:t>三、主要任务</w:t>
      </w:r>
      <w:bookmarkEnd w:id="8"/>
    </w:p>
    <w:p>
      <w:pPr>
        <w:pStyle w:val="4"/>
        <w:keepNext w:val="0"/>
        <w:keepLines w:val="0"/>
        <w:widowControl/>
        <w:suppressLineNumbers w:val="0"/>
        <w:autoSpaceDE w:val="0"/>
        <w:autoSpaceDN/>
        <w:spacing w:line="578" w:lineRule="exact"/>
        <w:ind w:left="0" w:leftChars="0" w:firstLine="643"/>
        <w:jc w:val="both"/>
        <w:outlineLvl w:val="1"/>
        <w:rPr>
          <w:rFonts w:hint="default" w:ascii="FreeSerif" w:hAnsi="FreeSerif" w:eastAsia="方正仿宋_GBK" w:cs="FreeSerif"/>
          <w:b w:val="0"/>
          <w:bCs w:val="0"/>
          <w:kern w:val="2"/>
          <w:sz w:val="32"/>
          <w:szCs w:val="32"/>
        </w:rPr>
      </w:pPr>
      <w:bookmarkStart w:id="9" w:name="_Toc1440799583"/>
      <w:r>
        <w:rPr>
          <w:rFonts w:hint="default" w:ascii="FreeSerif" w:hAnsi="FreeSerif" w:eastAsia="方正楷体_GBK" w:cs="FreeSerif"/>
          <w:b w:val="0"/>
          <w:kern w:val="0"/>
          <w:sz w:val="32"/>
          <w:szCs w:val="32"/>
        </w:rPr>
        <w:t>（一）持续推进土壤污染防治攻坚行动</w:t>
      </w:r>
      <w:bookmarkEnd w:id="9"/>
      <w:r>
        <w:rPr>
          <w:rFonts w:hint="default" w:ascii="FreeSerif" w:hAnsi="FreeSerif" w:eastAsia="方正楷体_GBK" w:cs="FreeSerif"/>
          <w:b w:val="0"/>
          <w:kern w:val="0"/>
          <w:sz w:val="32"/>
          <w:szCs w:val="32"/>
          <w:lang w:eastAsia="zh-CN"/>
        </w:rPr>
        <w:t>。</w:t>
      </w:r>
      <w:r>
        <w:rPr>
          <w:rFonts w:hint="default" w:ascii="FreeSerif" w:hAnsi="FreeSerif" w:eastAsia="方正仿宋_GBK" w:cs="FreeSerif"/>
          <w:b w:val="0"/>
          <w:bCs w:val="0"/>
          <w:snapToGrid/>
          <w:kern w:val="2"/>
          <w:sz w:val="32"/>
          <w:szCs w:val="32"/>
          <w:lang w:val="en-US" w:eastAsia="zh-CN" w:bidi="ar"/>
        </w:rPr>
        <w:t>按照</w:t>
      </w:r>
      <w:r>
        <w:rPr>
          <w:rFonts w:hint="eastAsia" w:ascii="方正仿宋_GBK" w:hAnsi="方正仿宋_GBK" w:eastAsia="方正仿宋_GBK" w:cs="方正仿宋_GBK"/>
          <w:b w:val="0"/>
          <w:bCs w:val="0"/>
          <w:snapToGrid/>
          <w:kern w:val="2"/>
          <w:sz w:val="32"/>
          <w:szCs w:val="32"/>
          <w:lang w:val="en-US" w:eastAsia="zh-CN" w:bidi="ar"/>
        </w:rPr>
        <w:t>“控源头、防新增、重监管、保安全”的思路，强化土壤污染源</w:t>
      </w:r>
      <w:r>
        <w:rPr>
          <w:rFonts w:hint="default" w:ascii="FreeSerif" w:hAnsi="FreeSerif" w:eastAsia="方正仿宋_GBK" w:cs="FreeSerif"/>
          <w:b w:val="0"/>
          <w:bCs w:val="0"/>
          <w:snapToGrid/>
          <w:kern w:val="2"/>
          <w:sz w:val="32"/>
          <w:szCs w:val="32"/>
          <w:lang w:val="en-US" w:eastAsia="zh-CN" w:bidi="ar"/>
        </w:rPr>
        <w:t>头管控，防止新增土壤污染，消除污染存量。加强黑土地保护，巩固提升农用地分类管理。以用途变更为住宅、公共管理与公共服务等用地的污染地块为重点，因地制宜严格准入管理，杜绝违规开发利用。以土壤污染重点监管单位为重点，强化监管和执法检查，防止新增土壤污染。</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1．推进土壤污染防治。</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土壤污染源头管控。动态更新重点区域和污染源排查整治清单，编制整治方案，分批次完成整治，保障粮食安全。依据《大气污染防治法》《水污染防治法》以及重点排污单位名录管理有关规定，将符合筛选条件的排放镉、汞、砷、铅、铬等有毒有害大气、水污染物的企业纳入大气、水污染物重点排污单位名录。2023年年底前，对纳入大气重点排污单位名录的涉镉等重金属排放企业，对大气污染物中的颗粒物按排污许可证规定实现自动监测，并与生态环境主管部门的监控设备联网。严格控制耕地周边涉重工矿企业污染物排放，鼓励企业开展重金属污染物减排和提标改造。</w:t>
      </w:r>
      <w:r>
        <w:rPr>
          <w:rFonts w:hint="default" w:ascii="FreeSerif" w:hAnsi="FreeSerif" w:eastAsia="方正楷体_GBK" w:cs="FreeSerif"/>
          <w:b w:val="0"/>
          <w:snapToGrid/>
          <w:kern w:val="2"/>
          <w:sz w:val="32"/>
          <w:szCs w:val="32"/>
          <w:lang w:val="en-US" w:eastAsia="zh-CN" w:bidi="ar"/>
        </w:rPr>
        <w:t>（市生态环境局、市工信局、市农业农村局、市自然资源局等按职责分工负责）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排查整治涉重金属关停企业和矿区历史遗留固体废物。应用卫星遥感、无人机和现场踏勘等方式，全面排查涉镉等重金属排放企业（关停）遗留工业固体废物矿区无序堆存的历史遗留废物，建立排查清单，对需要整治的列入整治清单。根据排查结果及污染风险，制定整治方案，分阶段治理，逐步消除存量，降低矿区废物污染灌溉用水或随洪水进入农田的风险。优先对周边及下游耕地土壤污染较重地区采取风险管控措施，有效切断污染物进入农田的途径。</w:t>
      </w:r>
      <w:r>
        <w:rPr>
          <w:rFonts w:hint="default" w:ascii="FreeSerif" w:hAnsi="FreeSerif" w:eastAsia="方正楷体_GBK" w:cs="FreeSerif"/>
          <w:b w:val="0"/>
          <w:snapToGrid/>
          <w:kern w:val="2"/>
          <w:sz w:val="32"/>
          <w:szCs w:val="32"/>
          <w:lang w:val="en-US" w:eastAsia="zh-CN" w:bidi="ar"/>
        </w:rPr>
        <w:t>（市生态环境局、市自然资源局、市农业农村局等按职责分工负责）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防控矿产资源开发污染土壤。市安全生产监督管理部门应当监督尾矿库运营、管理单位履行土壤污染防治的法定义务，防止其发生可能污染土壤的事故。</w:t>
      </w:r>
      <w:r>
        <w:rPr>
          <w:rFonts w:hint="default" w:ascii="FreeSerif" w:hAnsi="FreeSerif" w:eastAsia="方正楷体_GBK" w:cs="FreeSerif"/>
          <w:b w:val="0"/>
          <w:snapToGrid/>
          <w:kern w:val="2"/>
          <w:sz w:val="32"/>
          <w:szCs w:val="32"/>
          <w:lang w:val="en-US" w:eastAsia="zh-CN" w:bidi="ar"/>
        </w:rPr>
        <w:t>（市应急管理局负责）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督促采矿权人履行矿山地质环境恢复治理义务，预防和减少矿业活动对生态环境的污染破坏。将绿色矿业发展示范区建设与工矿废弃地复垦利用、矿山地质环境治理恢复、矿区土壤污染治理、土地整治等工作统筹推进。加强重有色金属矿区污染综合整治，因地制宜管控矿区污染土壤和酸性废水环境风险，重点保障农业生产和生活用水安全，鼓励采取自然恢复等措施。</w:t>
      </w:r>
      <w:r>
        <w:rPr>
          <w:rFonts w:hint="default" w:ascii="FreeSerif" w:hAnsi="FreeSerif" w:eastAsia="方正楷体_GBK" w:cs="FreeSerif"/>
          <w:b w:val="0"/>
          <w:snapToGrid/>
          <w:kern w:val="2"/>
          <w:sz w:val="32"/>
          <w:szCs w:val="32"/>
          <w:lang w:val="en-US" w:eastAsia="zh-CN" w:bidi="ar"/>
        </w:rPr>
        <w:t>（市自然资源局、市生态环境局等按职责分工负责）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推动实施绿色化改造。聚焦重有色金属采选和冶炼、涉重金属无机化合物工业等重点行业，以大安市、洮北区、镇赉县等产业集中地区为重点，开展企业绿色化提标改造。加快实施钢铁、石化、化工、有色等行业绿色升级。鼓励土壤污染重点监管单位因地制宜实施管道化、密闭化改造，重点区域防腐防渗改造，以及物料、污水、废气管线架空建设和改造，从源头上消除土壤污染。</w:t>
      </w:r>
      <w:r>
        <w:rPr>
          <w:rFonts w:hint="default" w:ascii="FreeSerif" w:hAnsi="FreeSerif" w:eastAsia="方正楷体_GBK" w:cs="FreeSerif"/>
          <w:b w:val="0"/>
          <w:snapToGrid/>
          <w:kern w:val="2"/>
          <w:sz w:val="32"/>
          <w:szCs w:val="32"/>
          <w:lang w:val="en-US" w:eastAsia="zh-CN" w:bidi="ar"/>
        </w:rPr>
        <w:t>（市工信局、市发改委、市生态环境局等按职责分工负责）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仿宋" w:cs="FreeSerif"/>
          <w:b/>
          <w:kern w:val="2"/>
          <w:sz w:val="32"/>
          <w:szCs w:val="32"/>
        </w:rPr>
      </w:pPr>
      <w:r>
        <w:rPr>
          <w:rFonts w:hint="default" w:ascii="FreeSerif" w:hAnsi="FreeSerif" w:eastAsia="方正仿宋_GBK" w:cs="FreeSerif"/>
          <w:snapToGrid/>
          <w:kern w:val="2"/>
          <w:sz w:val="32"/>
          <w:szCs w:val="32"/>
          <w:lang w:val="en-US" w:eastAsia="zh-CN" w:bidi="ar"/>
        </w:rPr>
        <w:t>推进耕地污染成因排查。以农用地土壤污染状况详查结果为基础，涉及耕地镉等重金属污染问题的地区，开展耕地重金属污染途径识别和污染源头追溯，查明污染成因，实施污染源头阻断工程。</w:t>
      </w:r>
      <w:r>
        <w:rPr>
          <w:rFonts w:hint="default" w:ascii="FreeSerif" w:hAnsi="FreeSerif" w:eastAsia="方正楷体_GBK" w:cs="FreeSerif"/>
          <w:b w:val="0"/>
          <w:snapToGrid/>
          <w:kern w:val="2"/>
          <w:sz w:val="32"/>
          <w:szCs w:val="32"/>
          <w:lang w:val="en-US" w:eastAsia="zh-CN" w:bidi="ar"/>
        </w:rPr>
        <w:t>（市生态环境局、市农业农村局等按职责分工负责）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2．防范工矿企业用地新增土壤污染。</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楷体_GB2312" w:cs="FreeSerif"/>
          <w:b/>
          <w:kern w:val="2"/>
          <w:sz w:val="32"/>
          <w:szCs w:val="32"/>
        </w:rPr>
      </w:pPr>
      <w:r>
        <w:rPr>
          <w:rFonts w:hint="default" w:ascii="FreeSerif" w:hAnsi="FreeSerif" w:eastAsia="方正仿宋_GBK" w:cs="FreeSerif"/>
          <w:snapToGrid/>
          <w:kern w:val="2"/>
          <w:sz w:val="32"/>
          <w:szCs w:val="32"/>
          <w:lang w:val="en-US" w:eastAsia="zh-CN" w:bidi="ar"/>
        </w:rPr>
        <w:t>严格建设项目土壤环境影响评价制度。对涉及有毒有害物质可能造成土壤污染的新（改、扩）建项目，依法进行环境影响评价，提出并落实防腐蚀、防渗漏、防遗撒等土壤污染防治具体措施。</w:t>
      </w:r>
      <w:r>
        <w:rPr>
          <w:rFonts w:hint="default" w:ascii="FreeSerif" w:hAnsi="FreeSerif" w:eastAsia="方正楷体_GBK" w:cs="FreeSerif"/>
          <w:b w:val="0"/>
          <w:snapToGrid/>
          <w:kern w:val="2"/>
          <w:sz w:val="32"/>
          <w:szCs w:val="32"/>
          <w:lang w:val="en-US" w:eastAsia="zh-CN" w:bidi="ar"/>
        </w:rPr>
        <w:t>（市生态环境局负责）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重点监管单位监管。根据典型行业有毒有害物质排放、腾退地块土壤污染情况、重点行业企业用地土壤污染状况调查结果，动态更新增补土壤污染重点监管单位名录。监督企业全面落实自行监测、隐患排查等土壤污染防治义务。2025年年底前，至少完成一轮土壤和地下水污染隐患排查整改，以及土壤污染重点监管单位周边土壤环境监督性监测。加强企业拆除活动污染防治现场检查，督促企业落实拆除活动污染防治措施。</w:t>
      </w:r>
      <w:r>
        <w:rPr>
          <w:rFonts w:hint="default" w:ascii="FreeSerif" w:hAnsi="FreeSerif" w:eastAsia="方正楷体_GBK" w:cs="FreeSerif"/>
          <w:b w:val="0"/>
          <w:snapToGrid/>
          <w:kern w:val="2"/>
          <w:sz w:val="32"/>
          <w:szCs w:val="32"/>
          <w:lang w:val="en-US" w:eastAsia="zh-CN" w:bidi="ar"/>
        </w:rPr>
        <w:t>（市生态环境局、市工信局等按职责分工负责）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3．巩固提升耕地分类管理。</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加大耕地保护力度。坚持最严格的耕地保护制度，强化国土空间规划和用途管控，落实永久基本农田控制线。永久基本农田集中区域，不得规划新建可能造成土壤污染的建设项目。</w:t>
      </w:r>
      <w:r>
        <w:rPr>
          <w:rFonts w:hint="default" w:ascii="FreeSerif" w:hAnsi="FreeSerif" w:eastAsia="方正楷体_GBK" w:cs="FreeSerif"/>
          <w:b w:val="0"/>
          <w:snapToGrid/>
          <w:kern w:val="2"/>
          <w:sz w:val="32"/>
          <w:szCs w:val="32"/>
          <w:lang w:val="en-US" w:eastAsia="zh-CN" w:bidi="ar"/>
        </w:rPr>
        <w:t>（市自然资源局、市生态环境局、市农业农村局等按职责分工负责）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黑土地综合保护，因地制宜推广秸秆还田“梨树模式”，推广绿色生产技术。加大优先保护类耕地保护力度，确保其面积不减少、土壤环境质量不下降。加强农业投入品质量监管，从严查处向农田施用不达标肥料等农业投入品的行为。</w:t>
      </w:r>
      <w:r>
        <w:rPr>
          <w:rFonts w:hint="default" w:ascii="FreeSerif" w:hAnsi="FreeSerif" w:eastAsia="方正楷体_GBK" w:cs="FreeSerif"/>
          <w:b w:val="0"/>
          <w:snapToGrid/>
          <w:kern w:val="2"/>
          <w:sz w:val="32"/>
          <w:szCs w:val="32"/>
          <w:lang w:val="en-US" w:eastAsia="zh-CN" w:bidi="ar"/>
        </w:rPr>
        <w:t>（市农业农村局、市自然资源局、市生态环境局等按职责分工负责）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巩固提升农用地安全利用。加快推进洮北区受污染耕地安全利用项目，总结洮北区农用地安全利用技术模式，持续推进全市受污染耕地安全利用，推广应用品种替代、水肥调控、生理阻隔、土壤调理等安全利用技术，到2025年，全市受污染耕地安全利用率达到95.2</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左右。落实省</w:t>
      </w:r>
      <w:r>
        <w:rPr>
          <w:rFonts w:hint="eastAsia" w:ascii="方正仿宋_GBK" w:hAnsi="方正仿宋_GBK" w:eastAsia="方正仿宋_GBK" w:cs="方正仿宋_GBK"/>
          <w:snapToGrid/>
          <w:kern w:val="2"/>
          <w:sz w:val="32"/>
          <w:szCs w:val="32"/>
          <w:lang w:val="en-US" w:eastAsia="zh-CN" w:bidi="ar"/>
        </w:rPr>
        <w:t>制定“十四五”耕</w:t>
      </w:r>
      <w:r>
        <w:rPr>
          <w:rFonts w:hint="default" w:ascii="FreeSerif" w:hAnsi="FreeSerif" w:eastAsia="方正仿宋_GBK" w:cs="FreeSerif"/>
          <w:snapToGrid/>
          <w:kern w:val="2"/>
          <w:sz w:val="32"/>
          <w:szCs w:val="32"/>
          <w:lang w:val="en-US" w:eastAsia="zh-CN" w:bidi="ar"/>
        </w:rPr>
        <w:t>地安全利用方案及年度工作计划。</w:t>
      </w:r>
      <w:r>
        <w:rPr>
          <w:rFonts w:hint="default" w:ascii="FreeSerif" w:hAnsi="FreeSerif" w:eastAsia="方正楷体_GBK" w:cs="FreeSerif"/>
          <w:b w:val="0"/>
          <w:snapToGrid/>
          <w:kern w:val="2"/>
          <w:sz w:val="32"/>
          <w:szCs w:val="32"/>
          <w:lang w:val="en-US" w:eastAsia="zh-CN" w:bidi="ar"/>
        </w:rPr>
        <w:t>（市农业农村局、市生态环境局等按职责分工负责）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加强严格管控类耕地风险管控。鼓励采取种植结构调整、按规定退耕还林还草等措施，确保严格管控类耕地退出玉米等口粮种植。将列入严格管控类且无法恢复治理的耕地，进行整改补划，并对粮食生产功能区和重要农产品生产保护区进行相应调整。探索利用卫星遥感等技术开展严格管控类耕地种植结构调整等措施实施情况监测。</w:t>
      </w:r>
      <w:r>
        <w:rPr>
          <w:rFonts w:hint="default" w:ascii="FreeSerif" w:hAnsi="FreeSerif" w:eastAsia="方正楷体_GBK" w:cs="FreeSerif"/>
          <w:b w:val="0"/>
          <w:snapToGrid/>
          <w:kern w:val="2"/>
          <w:sz w:val="32"/>
          <w:szCs w:val="32"/>
          <w:lang w:val="en-US" w:eastAsia="zh-CN" w:bidi="ar"/>
        </w:rPr>
        <w:t>（市农业农村局、市林草局、市生态环境局、市自然资源局等按职责分工负责）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严禁重金属超标粮食流入口粮市场。加大对安全利用类耕地和严格管控类耕地产出的农产品临田检测力度，加强超标粮食处置。强化对重点地区粮食收购和加工企业的监管，督促开展收购和加工粮食的重金属检测，对于超标的，专仓收储，严格管理，未经无害化处理，严禁流入口粮市场。对市场中流通的玉米、大米及米制品，加大抽检力度，发现问题及时处理。</w:t>
      </w:r>
      <w:r>
        <w:rPr>
          <w:rFonts w:hint="default" w:ascii="FreeSerif" w:hAnsi="FreeSerif" w:eastAsia="方正楷体_GBK" w:cs="FreeSerif"/>
          <w:b w:val="0"/>
          <w:snapToGrid/>
          <w:kern w:val="2"/>
          <w:sz w:val="32"/>
          <w:szCs w:val="32"/>
          <w:lang w:val="en-US" w:eastAsia="zh-CN" w:bidi="ar"/>
        </w:rPr>
        <w:t>（市发改委、市市场监管局、市农业农村局、市生态环境局等按职责分工负责）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动态调整耕地土壤环境质量类别。根据土壤环境质量例行监测、农用地重点地块监测、农产品检测、治理修复效果评估等，动态调整土壤环境质量类别，并将清单上传全国土壤环境信息平台。原则上禁止曾用于生产、使用、贮存、回收、处置有毒有害物质的工矿用地复垦为食用农产品耕地。</w:t>
      </w:r>
      <w:r>
        <w:rPr>
          <w:rFonts w:hint="default" w:ascii="FreeSerif" w:hAnsi="FreeSerif" w:eastAsia="方正楷体_GBK" w:cs="FreeSerif"/>
          <w:b w:val="0"/>
          <w:snapToGrid/>
          <w:kern w:val="2"/>
          <w:sz w:val="32"/>
          <w:szCs w:val="32"/>
          <w:lang w:val="en-US" w:eastAsia="zh-CN" w:bidi="ar"/>
        </w:rPr>
        <w:t>（市农业农村局、市生态环境局、市自然资源局等按职责分工负责）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4．加强建设用地土壤环境准入管理。</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深入开</w:t>
      </w:r>
      <w:r>
        <w:rPr>
          <w:rFonts w:hint="eastAsia" w:ascii="方正仿宋_GBK" w:hAnsi="方正仿宋_GBK" w:eastAsia="方正仿宋_GBK" w:cs="方正仿宋_GBK"/>
          <w:snapToGrid/>
          <w:kern w:val="2"/>
          <w:sz w:val="32"/>
          <w:szCs w:val="32"/>
          <w:lang w:val="en-US" w:eastAsia="zh-CN" w:bidi="ar"/>
        </w:rPr>
        <w:t>展土壤污染状况调查评估。以用途变更为住宅、公共管理与公共服务（简称“一住两公”）用</w:t>
      </w:r>
      <w:r>
        <w:rPr>
          <w:rFonts w:hint="default" w:ascii="FreeSerif" w:hAnsi="FreeSerif" w:eastAsia="方正仿宋_GBK" w:cs="FreeSerif"/>
          <w:snapToGrid/>
          <w:kern w:val="2"/>
          <w:sz w:val="32"/>
          <w:szCs w:val="32"/>
          <w:lang w:val="en-US" w:eastAsia="zh-CN" w:bidi="ar"/>
        </w:rPr>
        <w:t>地的地块为重点，依法开展土壤污染状况调查和风险评估。优先对重点行业企业用地调查潜在高风险地块中的地块，开展进一步调查和风险评估。鼓励各地对列入年度建设用地供应计划的地块，因地制宜适当提前开展土壤污染状况调查，化解建设用地土壤污染风险管控和修复与土地开发进度之间的矛盾。充分发挥环境大数据辅助监管的作用，对全市注销、撤销排污许可证企业，及时纳入监管视野，防止腾退地块游离于监管之外。</w:t>
      </w:r>
      <w:r>
        <w:rPr>
          <w:rFonts w:hint="default" w:ascii="FreeSerif" w:hAnsi="FreeSerif" w:eastAsia="方正楷体_GBK" w:cs="FreeSerif"/>
          <w:b w:val="0"/>
          <w:snapToGrid/>
          <w:kern w:val="2"/>
          <w:sz w:val="32"/>
          <w:szCs w:val="32"/>
          <w:lang w:val="en-US" w:eastAsia="zh-CN" w:bidi="ar"/>
        </w:rPr>
        <w:t>（市生态环境局、市自然资源局、市工信局等按职责分工负责）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市自然资源部门在土地征收、收回、收购以及转让、改变用途等环节，商生态环境部门依法督促相关单位调查并上报土壤污染状况。土壤污染重点监管单位土壤污染状况调查报告应当作为不动产登记资料送交市政府不动产登记机构，并报市政府生态环境主管部门备案。</w:t>
      </w:r>
      <w:r>
        <w:rPr>
          <w:rFonts w:hint="default" w:ascii="FreeSerif" w:hAnsi="FreeSerif" w:eastAsia="方正楷体_GBK" w:cs="FreeSerif"/>
          <w:b w:val="0"/>
          <w:snapToGrid/>
          <w:kern w:val="2"/>
          <w:sz w:val="32"/>
          <w:szCs w:val="32"/>
          <w:lang w:val="en-US" w:eastAsia="zh-CN" w:bidi="ar"/>
        </w:rPr>
        <w:t>（市自然资源局、市生态环境局等按职责分工负责）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严格污染地块用地准入。列入建设用地土壤污染风险管控和修复名录的地块，不得作</w:t>
      </w:r>
      <w:r>
        <w:rPr>
          <w:rFonts w:hint="eastAsia" w:ascii="方正仿宋_GBK" w:hAnsi="方正仿宋_GBK" w:eastAsia="方正仿宋_GBK" w:cs="方正仿宋_GBK"/>
          <w:snapToGrid/>
          <w:kern w:val="2"/>
          <w:sz w:val="32"/>
          <w:szCs w:val="32"/>
          <w:lang w:val="en-US" w:eastAsia="zh-CN" w:bidi="ar"/>
        </w:rPr>
        <w:t>为“一住两公”用</w:t>
      </w:r>
      <w:r>
        <w:rPr>
          <w:rFonts w:hint="default" w:ascii="FreeSerif" w:hAnsi="FreeSerif" w:eastAsia="方正仿宋_GBK" w:cs="FreeSerif"/>
          <w:snapToGrid/>
          <w:kern w:val="2"/>
          <w:sz w:val="32"/>
          <w:szCs w:val="32"/>
          <w:lang w:val="en-US" w:eastAsia="zh-CN" w:bidi="ar"/>
        </w:rPr>
        <w:t>地。依法应当开展土壤污染状况调查或风险评估而未开展或尚未完成调查评估的地块，以及未达到土壤污染风险评估报告确定的风险管控、修复目标的建设用地地块，不得开工建设与风险管控修复无关的项目。更新公开建设用地土壤污染风险管控和修复名录，市自然资源部门对列入名录的地块，不予作</w:t>
      </w:r>
      <w:r>
        <w:rPr>
          <w:rFonts w:hint="eastAsia" w:ascii="方正仿宋_GBK" w:hAnsi="方正仿宋_GBK" w:eastAsia="方正仿宋_GBK" w:cs="方正仿宋_GBK"/>
          <w:snapToGrid/>
          <w:kern w:val="2"/>
          <w:sz w:val="32"/>
          <w:szCs w:val="32"/>
          <w:lang w:val="en-US" w:eastAsia="zh-CN" w:bidi="ar"/>
        </w:rPr>
        <w:t>为“一住两公”</w:t>
      </w:r>
      <w:r>
        <w:rPr>
          <w:rFonts w:hint="default" w:ascii="FreeSerif" w:hAnsi="FreeSerif" w:eastAsia="方正仿宋_GBK" w:cs="FreeSerif"/>
          <w:snapToGrid/>
          <w:kern w:val="2"/>
          <w:sz w:val="32"/>
          <w:szCs w:val="32"/>
          <w:lang w:val="en-US" w:eastAsia="zh-CN" w:bidi="ar"/>
        </w:rPr>
        <w:t>用地，不予办理土地征收、收回、收购、土地供应以及改变土地用途等手续。合理规划污染地块用途，从严管控农药、化工等行业重度污染地块规划用途，确需开发利用的，鼓励用于拓展生态空间。</w:t>
      </w:r>
      <w:r>
        <w:rPr>
          <w:rFonts w:hint="default" w:ascii="FreeSerif" w:hAnsi="FreeSerif" w:eastAsia="方正楷体_GBK" w:cs="FreeSerif"/>
          <w:b w:val="0"/>
          <w:snapToGrid/>
          <w:kern w:val="2"/>
          <w:sz w:val="32"/>
          <w:szCs w:val="32"/>
          <w:lang w:val="en-US" w:eastAsia="zh-CN" w:bidi="ar"/>
        </w:rPr>
        <w:t>（市自然资源局、市生态环境局、市住建局等按职责分工负责）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推进重点地块风险管控。对暂不开发利用的危险化学品生产企业搬迁改造等行动遗留地块、企业用地调查高风险地块（关闭搬迁），督促土地使用权人制定风险管控方案并落实管理措施。对建设用地污染风险管控和修复名录内地块，督促土地使用权人制定风险管控或修复方案并落实工程措施。建立土壤污染风险管控和修复施工相关信息公开制度，强化修复过程二次污染防控。（</w:t>
      </w:r>
      <w:r>
        <w:rPr>
          <w:rFonts w:hint="default" w:ascii="FreeSerif" w:hAnsi="FreeSerif" w:eastAsia="方正楷体_GBK" w:cs="FreeSerif"/>
          <w:b w:val="0"/>
          <w:snapToGrid/>
          <w:kern w:val="2"/>
          <w:sz w:val="32"/>
          <w:szCs w:val="32"/>
          <w:lang w:val="en-US" w:eastAsia="zh-CN" w:bidi="ar"/>
        </w:rPr>
        <w:t>市生态环境局、市自然资源局等按职责分工负责</w:t>
      </w:r>
      <w:r>
        <w:rPr>
          <w:rFonts w:hint="eastAsia" w:ascii="FreeSerif" w:hAnsi="FreeSerif" w:eastAsia="方正楷体_GBK" w:cs="FreeSerif"/>
          <w:b w:val="0"/>
          <w:snapToGrid/>
          <w:kern w:val="2"/>
          <w:sz w:val="32"/>
          <w:szCs w:val="32"/>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优化土地开发和使用时序。涉及成片污染地块分期分批开发的，以及污染地块周边土地开发的，要优化开发时序，防止污染土壤及其后续风险管控和修复影响周边拟入住敏感人群，并防止引发负面舆情。原则上，居住、学校、养老机构等用地应在毗邻地块土壤污染风险管控和修复完成后再投入使用。</w:t>
      </w:r>
      <w:r>
        <w:rPr>
          <w:rFonts w:hint="default" w:ascii="FreeSerif" w:hAnsi="FreeSerif" w:eastAsia="方正楷体_GBK" w:cs="FreeSerif"/>
          <w:b w:val="0"/>
          <w:snapToGrid/>
          <w:kern w:val="2"/>
          <w:sz w:val="32"/>
          <w:szCs w:val="32"/>
          <w:lang w:val="en-US" w:eastAsia="zh-CN" w:bidi="ar"/>
        </w:rPr>
        <w:t>（市自然资源局、市生态环境局、市住建局等按职责分工负责）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强化部门信息共享和联动监管。建立完善污染地块信息平台，生态环境部门、自然资源部门及时共享疑似污染地块、污染地块有关信息、用途变更</w:t>
      </w:r>
      <w:r>
        <w:rPr>
          <w:rFonts w:hint="eastAsia" w:ascii="方正仿宋_GBK" w:hAnsi="方正仿宋_GBK" w:eastAsia="方正仿宋_GBK" w:cs="方正仿宋_GBK"/>
          <w:snapToGrid/>
          <w:kern w:val="2"/>
          <w:sz w:val="32"/>
          <w:szCs w:val="32"/>
          <w:lang w:val="en-US" w:eastAsia="zh-CN" w:bidi="ar"/>
        </w:rPr>
        <w:t>为“一住两公”的地</w:t>
      </w:r>
      <w:r>
        <w:rPr>
          <w:rFonts w:hint="default" w:ascii="FreeSerif" w:hAnsi="FreeSerif" w:eastAsia="方正仿宋_GBK" w:cs="FreeSerif"/>
          <w:snapToGrid/>
          <w:kern w:val="2"/>
          <w:sz w:val="32"/>
          <w:szCs w:val="32"/>
          <w:lang w:val="en-US" w:eastAsia="zh-CN" w:bidi="ar"/>
        </w:rPr>
        <w:t>块信息。土壤污染重点监管单位生产经营用地用途变更或土地使用权收回、转让信息，以及涉及疑似污染地块、污染地块国土空间规划等相关信息。将污染地块空间信息叠加至国土空间规</w:t>
      </w:r>
      <w:r>
        <w:rPr>
          <w:rFonts w:hint="eastAsia" w:ascii="方正仿宋_GBK" w:hAnsi="方正仿宋_GBK" w:eastAsia="方正仿宋_GBK" w:cs="方正仿宋_GBK"/>
          <w:snapToGrid/>
          <w:kern w:val="2"/>
          <w:sz w:val="32"/>
          <w:szCs w:val="32"/>
          <w:lang w:val="en-US" w:eastAsia="zh-CN" w:bidi="ar"/>
        </w:rPr>
        <w:t>划“一张图”</w:t>
      </w:r>
      <w:r>
        <w:rPr>
          <w:rFonts w:hint="default" w:ascii="FreeSerif" w:hAnsi="FreeSerif" w:eastAsia="方正仿宋_GBK" w:cs="FreeSerif"/>
          <w:snapToGrid/>
          <w:kern w:val="2"/>
          <w:sz w:val="32"/>
          <w:szCs w:val="32"/>
          <w:lang w:val="en-US" w:eastAsia="zh-CN" w:bidi="ar"/>
        </w:rPr>
        <w:t>。推动利用卫星遥感、无人机等手段开展非现场检查。制定建设用地土壤环境联动监管具体办法或措施。</w:t>
      </w:r>
      <w:r>
        <w:rPr>
          <w:rFonts w:hint="default" w:ascii="FreeSerif" w:hAnsi="FreeSerif" w:eastAsia="方正楷体_GBK" w:cs="FreeSerif"/>
          <w:b w:val="0"/>
          <w:snapToGrid/>
          <w:kern w:val="2"/>
          <w:sz w:val="32"/>
          <w:szCs w:val="32"/>
          <w:lang w:val="en-US" w:eastAsia="zh-CN" w:bidi="ar"/>
        </w:rPr>
        <w:t>（市自然资源局、市生态环境局按职责分工负责）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加强信息公开。2022年起，在土地收储、出让以及房地产出售等环节，土地使用权人应公开地块原土壤污染状况及污染治理和修复情况。加强房地产出售环节土壤污染防治公示情况检查。</w:t>
      </w:r>
      <w:r>
        <w:rPr>
          <w:rFonts w:hint="default" w:ascii="FreeSerif" w:hAnsi="FreeSerif" w:eastAsia="方正楷体_GBK" w:cs="FreeSerif"/>
          <w:b w:val="0"/>
          <w:snapToGrid/>
          <w:kern w:val="2"/>
          <w:sz w:val="32"/>
          <w:szCs w:val="32"/>
          <w:lang w:val="en-US" w:eastAsia="zh-CN" w:bidi="ar"/>
        </w:rPr>
        <w:t>（市自然资源局、市住建局、市生态环境局等按职责分工负责）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强化土壤污染风险管控、修复项目施工过程，以及暂不开发利用地块风险管控的信息公开。</w:t>
      </w:r>
      <w:r>
        <w:rPr>
          <w:rFonts w:hint="default" w:ascii="FreeSerif" w:hAnsi="FreeSerif" w:eastAsia="方正楷体_GBK" w:cs="FreeSerif"/>
          <w:b w:val="0"/>
          <w:snapToGrid/>
          <w:kern w:val="2"/>
          <w:sz w:val="32"/>
          <w:szCs w:val="32"/>
          <w:lang w:val="en-US" w:eastAsia="zh-CN" w:bidi="ar"/>
        </w:rPr>
        <w:t>（市生态环境局负责）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风险管控和修复工程监管。重点防止转运污染土壤非法处置，以及农药类等污染地块风险管控和修复过程中产生的异味等二次污染，针对采取风险管控措施的地块，强化后期管理。严格效果评估，确保实现土壤污染风险管控与修复目标。</w:t>
      </w:r>
      <w:r>
        <w:rPr>
          <w:rFonts w:hint="default" w:ascii="FreeSerif" w:hAnsi="FreeSerif" w:eastAsia="方正楷体_GBK" w:cs="FreeSerif"/>
          <w:b w:val="0"/>
          <w:snapToGrid/>
          <w:kern w:val="2"/>
          <w:sz w:val="32"/>
          <w:szCs w:val="32"/>
          <w:lang w:val="en-US" w:eastAsia="zh-CN" w:bidi="ar"/>
        </w:rPr>
        <w:t>（市生态环境局负责）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加强信用体系建设。强化信用管理，依法将从事土壤污染状况调查评估、风险管控、修复、风险管控效果评估、修复效果评估、后期管理等活动的单位和个人的执业情况、违法信息记入信用记录，并纳入全国信用信息共享平台和国家企业信用信息公示系统向社会公布。鼓励选择从业水平高、信用好的单位，推动从业单位提高自律意识和能力水平。</w:t>
      </w:r>
      <w:r>
        <w:rPr>
          <w:rFonts w:hint="default" w:ascii="FreeSerif" w:hAnsi="FreeSerif" w:eastAsia="方正楷体_GBK" w:cs="FreeSerif"/>
          <w:b w:val="0"/>
          <w:snapToGrid/>
          <w:kern w:val="2"/>
          <w:sz w:val="32"/>
          <w:szCs w:val="32"/>
          <w:lang w:val="en-US" w:eastAsia="zh-CN" w:bidi="ar"/>
        </w:rPr>
        <w:t>（市生态环境局、市政数局、市市场监管局等按职责分工负责）</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2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widowControl w:val="0"/>
              <w:suppressLineNumbers w:val="0"/>
              <w:autoSpaceDE w:val="0"/>
              <w:autoSpaceDN/>
              <w:adjustRightInd w:val="0"/>
              <w:snapToGrid w:val="0"/>
              <w:spacing w:before="0" w:beforeAutospacing="0" w:after="0" w:afterAutospacing="0" w:line="0" w:lineRule="atLeast"/>
              <w:ind w:left="0" w:leftChars="0" w:right="0" w:firstLine="0" w:firstLineChars="0"/>
              <w:jc w:val="center"/>
              <w:rPr>
                <w:rFonts w:hint="default" w:ascii="FreeSerif" w:hAnsi="FreeSerif" w:eastAsia="仿宋" w:cs="FreeSerif"/>
                <w:b/>
                <w:spacing w:val="0"/>
                <w:kern w:val="2"/>
                <w:sz w:val="24"/>
                <w:szCs w:val="24"/>
              </w:rPr>
            </w:pPr>
            <w:r>
              <w:rPr>
                <w:rFonts w:hint="default" w:ascii="FreeSerif" w:hAnsi="FreeSerif" w:eastAsia="方正黑体_GBK" w:cs="FreeSerif"/>
                <w:b w:val="0"/>
                <w:snapToGrid/>
                <w:spacing w:val="0"/>
                <w:kern w:val="2"/>
                <w:sz w:val="24"/>
                <w:szCs w:val="24"/>
                <w:lang w:val="en-US" w:eastAsia="zh-CN" w:bidi="ar"/>
              </w:rPr>
              <w:t>专栏1  土壤污染风险防控重点工程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9282"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方正仿宋_GBK" w:cs="FreeSerif"/>
                <w:kern w:val="2"/>
                <w:sz w:val="21"/>
                <w:szCs w:val="21"/>
                <w:highlight w:val="cyan"/>
              </w:rPr>
            </w:pPr>
            <w:r>
              <w:rPr>
                <w:rFonts w:hint="default" w:ascii="FreeSerif" w:hAnsi="FreeSerif" w:eastAsia="CESI楷体-GB13000" w:cs="FreeSerif"/>
                <w:b w:val="0"/>
                <w:snapToGrid/>
                <w:spacing w:val="0"/>
                <w:kern w:val="2"/>
                <w:sz w:val="21"/>
                <w:szCs w:val="21"/>
                <w:lang w:val="en-US" w:eastAsia="zh-CN" w:bidi="ar"/>
              </w:rPr>
              <w:t>土壤污染源头管控项目。</w:t>
            </w:r>
            <w:r>
              <w:rPr>
                <w:rFonts w:hint="default" w:ascii="FreeSerif" w:hAnsi="FreeSerif" w:eastAsia="方正仿宋_GBK" w:cs="FreeSerif"/>
                <w:snapToGrid/>
                <w:spacing w:val="0"/>
                <w:kern w:val="2"/>
                <w:sz w:val="21"/>
                <w:szCs w:val="21"/>
                <w:lang w:val="en-US" w:eastAsia="zh-CN" w:bidi="ar"/>
              </w:rPr>
              <w:t>以涉镉等重金属行业企业（在产）为主，开展防渗漏改造工程。</w:t>
            </w:r>
          </w:p>
          <w:p>
            <w:pPr>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方正仿宋_GBK" w:cs="FreeSerif"/>
                <w:spacing w:val="0"/>
                <w:kern w:val="2"/>
                <w:sz w:val="21"/>
                <w:szCs w:val="21"/>
              </w:rPr>
            </w:pPr>
            <w:r>
              <w:rPr>
                <w:rFonts w:hint="default" w:ascii="FreeSerif" w:hAnsi="FreeSerif" w:eastAsia="CESI楷体-GB13000" w:cs="FreeSerif"/>
                <w:b w:val="0"/>
                <w:snapToGrid/>
                <w:spacing w:val="0"/>
                <w:kern w:val="2"/>
                <w:sz w:val="21"/>
                <w:szCs w:val="21"/>
                <w:lang w:val="en-US" w:eastAsia="zh-CN" w:bidi="ar"/>
              </w:rPr>
              <w:t>土壤污染风险管控和修复项目。</w:t>
            </w:r>
            <w:r>
              <w:rPr>
                <w:rFonts w:hint="default" w:ascii="FreeSerif" w:hAnsi="FreeSerif" w:eastAsia="方正仿宋_GBK" w:cs="FreeSerif"/>
                <w:snapToGrid/>
                <w:spacing w:val="0"/>
                <w:kern w:val="2"/>
                <w:sz w:val="21"/>
                <w:szCs w:val="21"/>
                <w:lang w:val="en-US" w:eastAsia="zh-CN" w:bidi="ar"/>
              </w:rPr>
              <w:t>经调查评估确定的污染地块，实施土壤污染风险管控和修复项目。</w:t>
            </w:r>
          </w:p>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方正仿宋_GBK" w:cs="FreeSerif"/>
                <w:spacing w:val="0"/>
                <w:kern w:val="0"/>
                <w:sz w:val="21"/>
                <w:szCs w:val="21"/>
              </w:rPr>
            </w:pPr>
            <w:r>
              <w:rPr>
                <w:rFonts w:hint="default" w:ascii="FreeSerif" w:hAnsi="FreeSerif" w:eastAsia="CESI楷体-GB13000" w:cs="FreeSerif"/>
                <w:b w:val="0"/>
                <w:snapToGrid/>
                <w:spacing w:val="0"/>
                <w:kern w:val="2"/>
                <w:sz w:val="21"/>
                <w:szCs w:val="21"/>
                <w:lang w:val="en-US" w:eastAsia="zh-CN" w:bidi="ar"/>
              </w:rPr>
              <w:t>农用地安全利用项目。</w:t>
            </w:r>
            <w:r>
              <w:rPr>
                <w:rFonts w:hint="default" w:ascii="FreeSerif" w:hAnsi="FreeSerif" w:eastAsia="方正仿宋_GBK" w:cs="FreeSerif"/>
                <w:snapToGrid/>
                <w:spacing w:val="0"/>
                <w:kern w:val="2"/>
                <w:sz w:val="21"/>
                <w:szCs w:val="21"/>
                <w:lang w:val="en-US" w:eastAsia="zh-CN" w:bidi="ar"/>
              </w:rPr>
              <w:t>提升耕地土壤环境质量，在白城市洮北区实施受污染耕地安全利用项目。</w:t>
            </w:r>
          </w:p>
          <w:p>
            <w:pPr>
              <w:keepNext w:val="0"/>
              <w:keepLines w:val="0"/>
              <w:widowControl w:val="0"/>
              <w:suppressLineNumbers w:val="0"/>
              <w:overflowPunct w:val="0"/>
              <w:autoSpaceDE w:val="0"/>
              <w:autoSpaceDN/>
              <w:adjustRightInd w:val="0"/>
              <w:snapToGrid w:val="0"/>
              <w:spacing w:before="0" w:beforeAutospacing="0" w:after="0" w:afterAutospacing="0" w:line="0" w:lineRule="atLeast"/>
              <w:ind w:left="0" w:right="0" w:firstLine="420" w:firstLineChars="200"/>
              <w:jc w:val="both"/>
              <w:rPr>
                <w:rFonts w:hint="default" w:ascii="FreeSerif" w:hAnsi="FreeSerif" w:eastAsia="仿宋" w:cs="FreeSerif"/>
                <w:spacing w:val="0"/>
                <w:kern w:val="0"/>
                <w:sz w:val="24"/>
                <w:szCs w:val="24"/>
              </w:rPr>
            </w:pPr>
            <w:r>
              <w:rPr>
                <w:rFonts w:hint="default" w:ascii="FreeSerif" w:hAnsi="FreeSerif" w:eastAsia="CESI楷体-GB13000" w:cs="FreeSerif"/>
                <w:snapToGrid/>
                <w:kern w:val="2"/>
                <w:sz w:val="21"/>
                <w:szCs w:val="21"/>
                <w:lang w:val="en-US" w:eastAsia="zh-CN" w:bidi="ar"/>
              </w:rPr>
              <w:t>土壤污染状况调查和风险评估项目。</w:t>
            </w:r>
            <w:r>
              <w:rPr>
                <w:rFonts w:hint="default" w:ascii="FreeSerif" w:hAnsi="FreeSerif" w:eastAsia="方正仿宋_GBK" w:cs="FreeSerif"/>
                <w:snapToGrid/>
                <w:kern w:val="2"/>
                <w:sz w:val="21"/>
                <w:szCs w:val="21"/>
                <w:lang w:val="en-US" w:eastAsia="zh-CN" w:bidi="ar"/>
              </w:rPr>
              <w:t>以用途变更“一住两公”地块为主，推进一批土壤污染状况调查评估项目。</w:t>
            </w:r>
          </w:p>
        </w:tc>
      </w:tr>
    </w:tbl>
    <w:p>
      <w:pPr>
        <w:pStyle w:val="4"/>
        <w:keepNext w:val="0"/>
        <w:keepLines w:val="0"/>
        <w:widowControl/>
        <w:suppressLineNumbers w:val="0"/>
        <w:autoSpaceDE w:val="0"/>
        <w:autoSpaceDN/>
        <w:spacing w:line="578" w:lineRule="exact"/>
        <w:ind w:left="0" w:leftChars="0" w:firstLine="643"/>
        <w:jc w:val="both"/>
        <w:rPr>
          <w:rFonts w:hint="default" w:ascii="FreeSerif" w:hAnsi="FreeSerif" w:eastAsia="仿宋" w:cs="FreeSerif"/>
          <w:kern w:val="2"/>
          <w:sz w:val="32"/>
          <w:szCs w:val="32"/>
        </w:rPr>
      </w:pPr>
      <w:bookmarkStart w:id="10" w:name="_Toc453013761"/>
      <w:r>
        <w:rPr>
          <w:rFonts w:hint="default" w:ascii="FreeSerif" w:hAnsi="FreeSerif" w:eastAsia="方正楷体_GBK" w:cs="FreeSerif"/>
          <w:b w:val="0"/>
          <w:kern w:val="0"/>
          <w:sz w:val="32"/>
          <w:szCs w:val="32"/>
        </w:rPr>
        <w:t>（二）加强地下水污染防治</w:t>
      </w:r>
      <w:bookmarkEnd w:id="10"/>
      <w:r>
        <w:rPr>
          <w:rFonts w:hint="default" w:ascii="FreeSerif" w:hAnsi="FreeSerif" w:eastAsia="方正楷体_GBK" w:cs="FreeSerif"/>
          <w:b w:val="0"/>
          <w:kern w:val="0"/>
          <w:sz w:val="32"/>
          <w:szCs w:val="32"/>
          <w:lang w:eastAsia="zh-CN"/>
        </w:rPr>
        <w:t>。</w:t>
      </w:r>
      <w:r>
        <w:rPr>
          <w:rFonts w:hint="default" w:ascii="FreeSerif" w:hAnsi="FreeSerif" w:eastAsia="方正仿宋_GBK" w:cs="FreeSerif"/>
          <w:b w:val="0"/>
          <w:bCs w:val="0"/>
          <w:snapToGrid/>
          <w:kern w:val="2"/>
          <w:sz w:val="32"/>
          <w:szCs w:val="32"/>
          <w:lang w:val="en-US" w:eastAsia="zh-CN" w:bidi="ar"/>
        </w:rPr>
        <w:t>以保护和改善地下水环境质量为核心，重点抓</w:t>
      </w:r>
      <w:r>
        <w:rPr>
          <w:rFonts w:hint="eastAsia" w:ascii="方正仿宋_GBK" w:hAnsi="方正仿宋_GBK" w:eastAsia="方正仿宋_GBK" w:cs="方正仿宋_GBK"/>
          <w:b w:val="0"/>
          <w:bCs w:val="0"/>
          <w:snapToGrid/>
          <w:kern w:val="2"/>
          <w:sz w:val="32"/>
          <w:szCs w:val="32"/>
          <w:lang w:val="en-US" w:eastAsia="zh-CN" w:bidi="ar"/>
        </w:rPr>
        <w:t>好“摸清家底、‘双源’</w:t>
      </w:r>
      <w:r>
        <w:rPr>
          <w:rFonts w:hint="default" w:ascii="FreeSerif" w:hAnsi="FreeSerif" w:eastAsia="方正仿宋_GBK" w:cs="FreeSerif"/>
          <w:b w:val="0"/>
          <w:bCs w:val="0"/>
          <w:snapToGrid/>
          <w:kern w:val="2"/>
          <w:sz w:val="32"/>
          <w:szCs w:val="32"/>
          <w:lang w:val="en-US" w:eastAsia="zh-CN" w:bidi="ar"/>
        </w:rPr>
        <w:t>监管、协同防治、健全体</w:t>
      </w:r>
      <w:r>
        <w:rPr>
          <w:rFonts w:hint="eastAsia" w:ascii="方正仿宋_GBK" w:hAnsi="方正仿宋_GBK" w:eastAsia="方正仿宋_GBK" w:cs="方正仿宋_GBK"/>
          <w:b w:val="0"/>
          <w:bCs w:val="0"/>
          <w:snapToGrid/>
          <w:kern w:val="2"/>
          <w:sz w:val="32"/>
          <w:szCs w:val="32"/>
          <w:lang w:val="en-US" w:eastAsia="zh-CN" w:bidi="ar"/>
        </w:rPr>
        <w:t>系”</w:t>
      </w:r>
      <w:r>
        <w:rPr>
          <w:rFonts w:hint="default" w:ascii="FreeSerif" w:hAnsi="FreeSerif" w:eastAsia="方正仿宋_GBK" w:cs="FreeSerif"/>
          <w:b w:val="0"/>
          <w:bCs w:val="0"/>
          <w:snapToGrid/>
          <w:kern w:val="2"/>
          <w:sz w:val="32"/>
          <w:szCs w:val="32"/>
          <w:lang w:val="en-US" w:eastAsia="zh-CN" w:bidi="ar"/>
        </w:rPr>
        <w:t>，</w:t>
      </w:r>
      <w:r>
        <w:rPr>
          <w:rFonts w:hint="default" w:ascii="FreeSerif" w:hAnsi="FreeSerif" w:eastAsia="方正仿宋_GBK" w:cs="FreeSerif"/>
          <w:b w:val="0"/>
          <w:bCs w:val="0"/>
          <w:snapToGrid/>
          <w:spacing w:val="0"/>
          <w:kern w:val="2"/>
          <w:sz w:val="32"/>
          <w:szCs w:val="32"/>
          <w:lang w:val="en-US" w:eastAsia="zh-CN" w:bidi="ar"/>
        </w:rPr>
        <w:t>推进地下水环境状况调查评估和污染源风险管控</w:t>
      </w:r>
      <w:r>
        <w:rPr>
          <w:rFonts w:hint="default" w:ascii="FreeSerif" w:hAnsi="FreeSerif" w:eastAsia="方正仿宋_GBK" w:cs="FreeSerif"/>
          <w:b w:val="0"/>
          <w:bCs w:val="0"/>
          <w:snapToGrid/>
          <w:kern w:val="2"/>
          <w:sz w:val="32"/>
          <w:szCs w:val="32"/>
          <w:lang w:val="en-US" w:eastAsia="zh-CN" w:bidi="ar"/>
        </w:rPr>
        <w:t>。强化饮用水源地保护，保障地下水型饮用水水源环境安全。</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1．健全地下水污染防治管理体系。</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制定地下水环境质量达标方案。排查地下水国考点位附近污染源分布情况、地质背景值情况，对超标点位和与上年相比监测变化幅度大的点位，逐一排查原因。水质下降的、非地质背景导致未达到水质目标要求的点位，因地制宜制定地下水环境质量达标或保持方案，明确防治措施及完成时限，防止地下水污染恶化。</w:t>
      </w:r>
      <w:r>
        <w:rPr>
          <w:rFonts w:hint="default" w:ascii="FreeSerif" w:hAnsi="FreeSerif" w:eastAsia="方正楷体_GBK" w:cs="FreeSerif"/>
          <w:b w:val="0"/>
          <w:snapToGrid/>
          <w:kern w:val="2"/>
          <w:sz w:val="32"/>
          <w:szCs w:val="32"/>
          <w:lang w:val="en-US" w:eastAsia="zh-CN" w:bidi="ar"/>
        </w:rPr>
        <w:t>（市生态环境局、市自然资源局等按职责分工负责）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推动地下水污染防治分区管理。开展地下水污染防治重点区划定，实施地下水环境分区管理、分级防治，明确环境准入、隐患排查、风险管控、修复等差别化环境管理要求。</w:t>
      </w:r>
      <w:r>
        <w:rPr>
          <w:rFonts w:hint="default" w:ascii="FreeSerif" w:hAnsi="FreeSerif" w:eastAsia="方正楷体_GBK" w:cs="FreeSerif"/>
          <w:b w:val="0"/>
          <w:snapToGrid/>
          <w:kern w:val="2"/>
          <w:sz w:val="32"/>
          <w:szCs w:val="32"/>
          <w:lang w:val="en-US" w:eastAsia="zh-CN" w:bidi="ar"/>
        </w:rPr>
        <w:t>（市生态环境局、市自然资源局、市发改委等按职责分工负责）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建立地下水污染防治重点排污单位名录。研究建立地下水污染防治重点排污单位名录，推动纳入排污许可管理，加强防渗、地下水环境监测、执法检查。</w:t>
      </w:r>
      <w:r>
        <w:rPr>
          <w:rFonts w:hint="default" w:ascii="FreeSerif" w:hAnsi="FreeSerif" w:eastAsia="方正楷体_GBK" w:cs="FreeSerif"/>
          <w:b w:val="0"/>
          <w:snapToGrid/>
          <w:kern w:val="2"/>
          <w:sz w:val="32"/>
          <w:szCs w:val="32"/>
          <w:lang w:val="en-US" w:eastAsia="zh-CN" w:bidi="ar"/>
        </w:rPr>
        <w:t>（市生态环境局负责）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健全部门间地下水环境信息共享机制。各级生态环境、自然资源、水利部门共享地下水环境状况调查、水文地质勘查、地下水资源调查等信息。</w:t>
      </w:r>
      <w:r>
        <w:rPr>
          <w:rFonts w:hint="default" w:ascii="FreeSerif" w:hAnsi="FreeSerif" w:eastAsia="方正楷体_GBK" w:cs="FreeSerif"/>
          <w:b w:val="0"/>
          <w:snapToGrid/>
          <w:kern w:val="2"/>
          <w:sz w:val="32"/>
          <w:szCs w:val="32"/>
          <w:lang w:val="en-US" w:eastAsia="zh-CN" w:bidi="ar"/>
        </w:rPr>
        <w:t>（市生态环境局、市自然资源局、市水利局等按职责分工负责）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2．加强地下水污染源头预防、风险管控与修复。</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开展地下水污</w:t>
      </w:r>
      <w:r>
        <w:rPr>
          <w:rFonts w:hint="eastAsia" w:ascii="方正仿宋_GBK" w:hAnsi="方正仿宋_GBK" w:eastAsia="方正仿宋_GBK" w:cs="方正仿宋_GBK"/>
          <w:snapToGrid/>
          <w:kern w:val="2"/>
          <w:sz w:val="32"/>
          <w:szCs w:val="32"/>
          <w:lang w:val="en-US" w:eastAsia="zh-CN" w:bidi="ar"/>
        </w:rPr>
        <w:t>染状况调查评估。开展化学品生产企业、尾矿库、危险废物处置场、垃圾填埋场、工业集聚区、矿山开采区（简称“一企一库”“两场两区”）地下水环境状况调查评估，衔接第二次污染源普查和重点行业企业用地调</w:t>
      </w:r>
      <w:r>
        <w:rPr>
          <w:rFonts w:hint="default" w:ascii="FreeSerif" w:hAnsi="FreeSerif" w:eastAsia="方正仿宋_GBK" w:cs="FreeSerif"/>
          <w:snapToGrid/>
          <w:kern w:val="2"/>
          <w:sz w:val="32"/>
          <w:szCs w:val="32"/>
          <w:lang w:val="en-US" w:eastAsia="zh-CN" w:bidi="ar"/>
        </w:rPr>
        <w:t>查、排污许可等成果，基本查清污染源信息、环境管理、水质状况等内容，评估地下水环境风险，识别管控重点。到2023年，完成省级以上化工园区、危险废物处置场和垃圾填埋场地下水环境调查评估。到2025年，完成其他污染源地下水调查评估。</w:t>
      </w:r>
      <w:r>
        <w:rPr>
          <w:rFonts w:hint="default" w:ascii="FreeSerif" w:hAnsi="FreeSerif" w:eastAsia="方正楷体_GBK" w:cs="FreeSerif"/>
          <w:b w:val="0"/>
          <w:snapToGrid/>
          <w:kern w:val="2"/>
          <w:sz w:val="32"/>
          <w:szCs w:val="32"/>
          <w:lang w:val="en-US" w:eastAsia="zh-CN" w:bidi="ar"/>
        </w:rPr>
        <w:t>（市生态环境局、市工信局、市自然资源局、市住建局、市城管局等按职责分工负责）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落实地下水防渗和监测措施。对列入地下水污染防治重点单位名录企业开展地下水污染风险防渗漏排查。对存在问题的设施采取防渗改造措施。</w:t>
      </w:r>
      <w:r>
        <w:rPr>
          <w:rFonts w:hint="eastAsia" w:ascii="方正仿宋_GBK" w:hAnsi="方正仿宋_GBK" w:eastAsia="方正仿宋_GBK" w:cs="方正仿宋_GBK"/>
          <w:snapToGrid/>
          <w:kern w:val="2"/>
          <w:sz w:val="32"/>
          <w:szCs w:val="32"/>
          <w:lang w:val="en-US" w:eastAsia="zh-CN" w:bidi="ar"/>
        </w:rPr>
        <w:t>“一企一库”“两场两区”落实</w:t>
      </w:r>
      <w:r>
        <w:rPr>
          <w:rFonts w:hint="default" w:ascii="FreeSerif" w:hAnsi="FreeSerif" w:eastAsia="方正仿宋_GBK" w:cs="FreeSerif"/>
          <w:snapToGrid/>
          <w:kern w:val="2"/>
          <w:sz w:val="32"/>
          <w:szCs w:val="32"/>
          <w:lang w:val="en-US" w:eastAsia="zh-CN" w:bidi="ar"/>
        </w:rPr>
        <w:t>防渗漏措施，按要求建设地下水环境监测井，开展地下水环境自行监测。开展地下水污染防治重点排污单位周边地下水环境监测。</w:t>
      </w:r>
      <w:r>
        <w:rPr>
          <w:rFonts w:hint="default" w:ascii="FreeSerif" w:hAnsi="FreeSerif" w:eastAsia="方正楷体_GBK" w:cs="FreeSerif"/>
          <w:b w:val="0"/>
          <w:snapToGrid/>
          <w:kern w:val="2"/>
          <w:sz w:val="32"/>
          <w:szCs w:val="32"/>
          <w:lang w:val="en-US" w:eastAsia="zh-CN" w:bidi="ar"/>
        </w:rPr>
        <w:t>（市生态环境局、市住建局、市工信局等按职责分工负责）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开展地下水污染源风险管控和修复试点。化工园区、危险废物处置场和生活垃圾填埋场等存在特征污染物超过地下水质量标准的，要开展土壤和地下水污染风险管控或修复工作，采取管理措施和工程措施，阻止地下水污染扩散。针对地下水有机污染物、重金属等迁移性强的污染物，兼顾不同水文地质条件，选择适宜的修复技术。加强地下水风险管控效果评估和后期环境监管，确保风险管控或修复效果达到要求。开展废弃矿井封填试点。（</w:t>
      </w:r>
      <w:r>
        <w:rPr>
          <w:rFonts w:hint="default" w:ascii="FreeSerif" w:hAnsi="FreeSerif" w:eastAsia="方正楷体_GBK" w:cs="FreeSerif"/>
          <w:b w:val="0"/>
          <w:snapToGrid/>
          <w:kern w:val="2"/>
          <w:sz w:val="32"/>
          <w:szCs w:val="32"/>
          <w:lang w:val="en-US" w:eastAsia="zh-CN" w:bidi="ar"/>
        </w:rPr>
        <w:t>市生态环境局、市工信局、市住建局等按职责分工负责</w:t>
      </w:r>
      <w:r>
        <w:rPr>
          <w:rFonts w:hint="default" w:ascii="FreeSerif" w:hAnsi="FreeSerif" w:eastAsia="方正仿宋_GBK" w:cs="FreeSerif"/>
          <w:snapToGrid/>
          <w:kern w:val="2"/>
          <w:sz w:val="32"/>
          <w:szCs w:val="32"/>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3．保障地下水型饮用水水源环境安全。</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80" w:lineRule="exact"/>
        <w:ind w:left="0" w:leftChars="0" w:right="0" w:firstLine="640" w:firstLineChars="200"/>
        <w:jc w:val="both"/>
        <w:textAlignment w:val="auto"/>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排查城镇地下水型饮用水水源污染风险。开展地下水型饮用水水源保护区、补给区及供水单位周边区域的地下水环境状况调查，识别可能存在的污染源，研判风险等级，建立和完善地下水型饮用水水源补给区内优先管控污染源清单，加强饮用水水源污染风险防范。</w:t>
      </w:r>
      <w:r>
        <w:rPr>
          <w:rFonts w:hint="default" w:ascii="FreeSerif" w:hAnsi="FreeSerif" w:eastAsia="方正楷体_GBK" w:cs="FreeSerif"/>
          <w:b w:val="0"/>
          <w:snapToGrid/>
          <w:kern w:val="2"/>
          <w:sz w:val="32"/>
          <w:szCs w:val="32"/>
          <w:lang w:val="en-US" w:eastAsia="zh-CN" w:bidi="ar"/>
        </w:rPr>
        <w:t>（市生态环境局、市自然资源局、市水利局等按职责分工负责）</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80" w:lineRule="exact"/>
        <w:ind w:left="0" w:leftChars="0" w:right="0" w:firstLine="640" w:firstLineChars="200"/>
        <w:jc w:val="both"/>
        <w:textAlignment w:val="auto"/>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地下水型饮用水水源保护。强化县级以上地下水型饮用水水源保护区划定和优化调整，设立标志，进行规范化建设。针对水质超标的地下水型饮用水水源，分析超标原因，因地制宜采取污染防治、水厂深度处理或更换水源等措施，确保饮水安全。建立饮用水水源地档案制度，逐步推进县级及以上饮用水水源全覆盖。推进县级以上城市浅层地下水型饮用水重要水源补给区划定，加强补给区地下水环境管理。</w:t>
      </w:r>
      <w:r>
        <w:rPr>
          <w:rFonts w:hint="default" w:ascii="FreeSerif" w:hAnsi="FreeSerif" w:eastAsia="方正楷体_GBK" w:cs="FreeSerif"/>
          <w:b w:val="0"/>
          <w:snapToGrid/>
          <w:kern w:val="2"/>
          <w:sz w:val="32"/>
          <w:szCs w:val="32"/>
          <w:lang w:val="en-US" w:eastAsia="zh-CN" w:bidi="ar"/>
        </w:rPr>
        <w:t>（市生态环境局、市水利局等按职责分工负责）</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80" w:lineRule="exact"/>
        <w:ind w:left="0" w:leftChars="0" w:right="0" w:firstLine="640" w:firstLineChars="200"/>
        <w:jc w:val="both"/>
        <w:textAlignment w:val="auto"/>
        <w:rPr>
          <w:rFonts w:hint="default" w:ascii="FreeSerif" w:hAnsi="FreeSerif" w:eastAsia="仿宋" w:cs="FreeSerif"/>
          <w:kern w:val="2"/>
          <w:sz w:val="32"/>
          <w:szCs w:val="32"/>
        </w:rPr>
      </w:pPr>
      <w:r>
        <w:rPr>
          <w:rFonts w:hint="default" w:ascii="FreeSerif" w:hAnsi="FreeSerif" w:eastAsia="方正仿宋_GBK" w:cs="FreeSerif"/>
          <w:snapToGrid/>
          <w:kern w:val="2"/>
          <w:sz w:val="32"/>
          <w:szCs w:val="32"/>
          <w:lang w:val="en-US" w:eastAsia="zh-CN" w:bidi="ar"/>
        </w:rPr>
        <w:t>防范傍河地下水型饮用水水源环境风险。加强地表水和地下水污染协同防治，加强河道水质管理，减少受污染河段侧渗和垂直补给对地下水污染，确保傍河地下水型饮用水水源水质安全。</w:t>
      </w:r>
      <w:r>
        <w:rPr>
          <w:rFonts w:hint="default" w:ascii="FreeSerif" w:hAnsi="FreeSerif" w:eastAsia="方正楷体_GBK" w:cs="FreeSerif"/>
          <w:b w:val="0"/>
          <w:snapToGrid/>
          <w:kern w:val="2"/>
          <w:sz w:val="32"/>
          <w:szCs w:val="32"/>
          <w:lang w:val="en-US" w:eastAsia="zh-CN" w:bidi="ar"/>
        </w:rPr>
        <w:t>（市生态环境局、市发改委、市水利局等按职责分工负责）</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282"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right="0" w:firstLine="0" w:firstLineChars="0"/>
              <w:jc w:val="center"/>
              <w:rPr>
                <w:rFonts w:hint="default" w:ascii="FreeSerif" w:hAnsi="FreeSerif" w:eastAsia="仿宋" w:cs="FreeSerif"/>
                <w:b/>
                <w:spacing w:val="0"/>
                <w:kern w:val="2"/>
                <w:sz w:val="24"/>
                <w:szCs w:val="24"/>
              </w:rPr>
            </w:pPr>
            <w:r>
              <w:rPr>
                <w:rFonts w:hint="default" w:ascii="FreeSerif" w:hAnsi="FreeSerif" w:eastAsia="方正黑体_GBK" w:cs="FreeSerif"/>
                <w:b w:val="0"/>
                <w:snapToGrid/>
                <w:spacing w:val="0"/>
                <w:kern w:val="2"/>
                <w:sz w:val="24"/>
                <w:szCs w:val="24"/>
                <w:lang w:val="en-US" w:eastAsia="zh-CN" w:bidi="ar"/>
              </w:rPr>
              <w:t>专栏2  地下水污染防治重点工程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9282"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仿宋" w:cs="FreeSerif"/>
                <w:spacing w:val="0"/>
                <w:kern w:val="2"/>
                <w:sz w:val="21"/>
                <w:szCs w:val="21"/>
              </w:rPr>
            </w:pPr>
            <w:r>
              <w:rPr>
                <w:rFonts w:hint="default" w:ascii="FreeSerif" w:hAnsi="FreeSerif" w:eastAsia="方正楷体_GBK" w:cs="FreeSerif"/>
                <w:b w:val="0"/>
                <w:snapToGrid/>
                <w:spacing w:val="0"/>
                <w:kern w:val="2"/>
                <w:sz w:val="21"/>
                <w:szCs w:val="21"/>
                <w:lang w:val="en-US" w:eastAsia="zh-CN" w:bidi="ar"/>
              </w:rPr>
              <w:t>农村地下水饮用水源地标准化建设工程。</w:t>
            </w:r>
            <w:r>
              <w:rPr>
                <w:rFonts w:hint="default" w:ascii="FreeSerif" w:hAnsi="FreeSerif" w:eastAsia="方正仿宋_GBK" w:cs="FreeSerif"/>
                <w:snapToGrid/>
                <w:spacing w:val="0"/>
                <w:kern w:val="2"/>
                <w:sz w:val="21"/>
                <w:szCs w:val="21"/>
                <w:lang w:val="en-US" w:eastAsia="zh-CN" w:bidi="ar"/>
              </w:rPr>
              <w:t>继续推进全市农村地下水饮用水源地标准化建设工程，设立明确的地理界标和明显的警示标志，周边设置护栏等。</w:t>
            </w:r>
          </w:p>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仿宋" w:cs="FreeSerif"/>
                <w:spacing w:val="0"/>
                <w:kern w:val="2"/>
                <w:sz w:val="21"/>
                <w:szCs w:val="21"/>
              </w:rPr>
            </w:pPr>
            <w:r>
              <w:rPr>
                <w:rFonts w:hint="default" w:ascii="FreeSerif" w:hAnsi="FreeSerif" w:eastAsia="方正楷体_GBK" w:cs="FreeSerif"/>
                <w:b w:val="0"/>
                <w:snapToGrid/>
                <w:spacing w:val="0"/>
                <w:kern w:val="2"/>
                <w:sz w:val="21"/>
                <w:szCs w:val="21"/>
                <w:lang w:val="en-US" w:eastAsia="zh-CN" w:bidi="ar"/>
              </w:rPr>
              <w:t>地下水饮用水源地整治工程。</w:t>
            </w:r>
            <w:r>
              <w:rPr>
                <w:rFonts w:hint="default" w:ascii="FreeSerif" w:hAnsi="FreeSerif" w:eastAsia="方正仿宋_GBK" w:cs="FreeSerif"/>
                <w:snapToGrid/>
                <w:spacing w:val="0"/>
                <w:kern w:val="2"/>
                <w:sz w:val="21"/>
                <w:szCs w:val="21"/>
                <w:lang w:val="en-US" w:eastAsia="zh-CN" w:bidi="ar"/>
              </w:rPr>
              <w:t>全市范围内清理水源保护区内违法建设项目和排污口等。针对人为原因导致水质超标的地下水型饮用水水源，实施治理工程。</w:t>
            </w:r>
          </w:p>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仿宋" w:cs="FreeSerif"/>
                <w:spacing w:val="0"/>
                <w:kern w:val="2"/>
                <w:sz w:val="21"/>
                <w:szCs w:val="21"/>
              </w:rPr>
            </w:pPr>
            <w:r>
              <w:rPr>
                <w:rFonts w:hint="default" w:ascii="FreeSerif" w:hAnsi="FreeSerif" w:eastAsia="方正楷体_GBK" w:cs="FreeSerif"/>
                <w:b w:val="0"/>
                <w:snapToGrid/>
                <w:spacing w:val="0"/>
                <w:kern w:val="2"/>
                <w:sz w:val="21"/>
                <w:szCs w:val="21"/>
                <w:lang w:val="en-US" w:eastAsia="zh-CN" w:bidi="ar"/>
              </w:rPr>
              <w:t>地下水饮用水源及补给区清单和污染源清单。</w:t>
            </w:r>
            <w:r>
              <w:rPr>
                <w:rFonts w:hint="default" w:ascii="FreeSerif" w:hAnsi="FreeSerif" w:eastAsia="方正仿宋_GBK" w:cs="FreeSerif"/>
                <w:snapToGrid/>
                <w:spacing w:val="0"/>
                <w:kern w:val="2"/>
                <w:sz w:val="21"/>
                <w:szCs w:val="21"/>
                <w:lang w:val="en-US" w:eastAsia="zh-CN" w:bidi="ar"/>
              </w:rPr>
              <w:t>2021年年底前，各地形成县级以上地下水饮用水源及补给区清单和污染源清单。</w:t>
            </w:r>
          </w:p>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仿宋" w:cs="FreeSerif"/>
                <w:spacing w:val="0"/>
                <w:kern w:val="2"/>
                <w:sz w:val="21"/>
                <w:szCs w:val="21"/>
              </w:rPr>
            </w:pPr>
            <w:r>
              <w:rPr>
                <w:rFonts w:hint="default" w:ascii="FreeSerif" w:hAnsi="FreeSerif" w:eastAsia="方正楷体_GBK" w:cs="FreeSerif"/>
                <w:b w:val="0"/>
                <w:snapToGrid/>
                <w:spacing w:val="0"/>
                <w:kern w:val="2"/>
                <w:sz w:val="21"/>
                <w:szCs w:val="21"/>
                <w:lang w:val="en-US" w:eastAsia="zh-CN" w:bidi="ar"/>
              </w:rPr>
              <w:t>地下水调查。</w:t>
            </w:r>
            <w:r>
              <w:rPr>
                <w:rFonts w:hint="default" w:ascii="FreeSerif" w:hAnsi="FreeSerif" w:eastAsia="方正仿宋_GBK" w:cs="FreeSerif"/>
                <w:snapToGrid/>
                <w:spacing w:val="0"/>
                <w:kern w:val="2"/>
                <w:sz w:val="21"/>
                <w:szCs w:val="21"/>
                <w:lang w:val="en-US" w:eastAsia="zh-CN" w:bidi="ar"/>
              </w:rPr>
              <w:t>2022年年底前，开展地下水调查。</w:t>
            </w:r>
          </w:p>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仿宋" w:cs="FreeSerif"/>
                <w:spacing w:val="0"/>
                <w:kern w:val="2"/>
                <w:sz w:val="24"/>
                <w:szCs w:val="24"/>
              </w:rPr>
            </w:pPr>
            <w:r>
              <w:rPr>
                <w:rFonts w:hint="default" w:ascii="FreeSerif" w:hAnsi="FreeSerif" w:eastAsia="方正楷体_GBK" w:cs="FreeSerif"/>
                <w:b w:val="0"/>
                <w:snapToGrid/>
                <w:spacing w:val="0"/>
                <w:kern w:val="2"/>
                <w:sz w:val="21"/>
                <w:szCs w:val="21"/>
                <w:lang w:val="en-US" w:eastAsia="zh-CN" w:bidi="ar"/>
              </w:rPr>
              <w:t>开展地下水污染防治区划。</w:t>
            </w:r>
            <w:r>
              <w:rPr>
                <w:rFonts w:hint="default" w:ascii="FreeSerif" w:hAnsi="FreeSerif" w:eastAsia="方正仿宋_GBK" w:cs="FreeSerif"/>
                <w:snapToGrid/>
                <w:spacing w:val="0"/>
                <w:kern w:val="2"/>
                <w:sz w:val="21"/>
                <w:szCs w:val="21"/>
                <w:lang w:val="en-US" w:eastAsia="zh-CN" w:bidi="ar"/>
              </w:rPr>
              <w:t>2023年年底前，完成地下水污染防治分区划定</w:t>
            </w:r>
            <w:r>
              <w:rPr>
                <w:rFonts w:hint="default" w:ascii="FreeSerif" w:hAnsi="FreeSerif" w:eastAsia="方正仿宋_GBK" w:cs="FreeSerif"/>
                <w:snapToGrid/>
                <w:spacing w:val="0"/>
                <w:kern w:val="2"/>
                <w:sz w:val="24"/>
                <w:szCs w:val="24"/>
                <w:lang w:val="en-US" w:eastAsia="zh-CN" w:bidi="ar"/>
              </w:rPr>
              <w:t>。</w:t>
            </w:r>
          </w:p>
        </w:tc>
      </w:tr>
    </w:tbl>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1"/>
        <w:rPr>
          <w:rFonts w:hint="default" w:ascii="FreeSerif" w:hAnsi="FreeSerif" w:eastAsia="方正仿宋_GBK" w:cs="FreeSerif"/>
          <w:sz w:val="32"/>
          <w:szCs w:val="32"/>
        </w:rPr>
      </w:pPr>
      <w:bookmarkStart w:id="11" w:name="_Toc1709971140"/>
      <w:r>
        <w:rPr>
          <w:rFonts w:hint="default" w:ascii="FreeSerif" w:hAnsi="FreeSerif" w:eastAsia="CESI楷体-GB13000" w:cs="FreeSerif"/>
          <w:sz w:val="32"/>
          <w:szCs w:val="32"/>
        </w:rPr>
        <w:t>（三）深化农业农村环境治理</w:t>
      </w:r>
      <w:bookmarkEnd w:id="11"/>
      <w:r>
        <w:rPr>
          <w:rFonts w:hint="default" w:ascii="FreeSerif" w:hAnsi="FreeSerif" w:eastAsia="CESI楷体-GB13000" w:cs="FreeSerif"/>
          <w:sz w:val="32"/>
          <w:szCs w:val="32"/>
          <w:lang w:eastAsia="zh-CN"/>
        </w:rPr>
        <w:t>。</w:t>
      </w:r>
      <w:r>
        <w:rPr>
          <w:rFonts w:hint="default" w:ascii="FreeSerif" w:hAnsi="FreeSerif" w:eastAsia="方正仿宋_GBK" w:cs="FreeSerif"/>
          <w:sz w:val="32"/>
          <w:szCs w:val="32"/>
          <w:lang w:val="en-US" w:eastAsia="zh-CN"/>
        </w:rPr>
        <w:t>聚焦农村饮用水水源保护、农业面源污染防治、农村生活污水治理、农村黑臭水体治理、农村环境整治、畜禽养殖污染治理等重点工作，深入推进农业农村污染治理攻坚，建设生活环境整洁优美、生态系统健康稳定、人与自然和谐共生的美丽乡村。</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1．加强农村饮用水水源地保护。</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推进农村饮用水水源地规范化建设，在饮用水水源保护区边界设立地理界标、警示标志或宣传牌，必要时采取隔离防护措施。排查影响农村水源地安全的工业企业、畜禽养殖、水产养殖、垃圾堆放等环境风险源。制定饮用水水源地整治方案和应急预案。通过整治风险源、更换水源地等方式，消除风险隐患，保障饮水安全。加强饮用水水源地水质监测</w:t>
      </w:r>
      <w:r>
        <w:rPr>
          <w:rFonts w:hint="eastAsia" w:ascii="方正仿宋_GBK" w:hAnsi="方正仿宋_GBK" w:eastAsia="方正仿宋_GBK" w:cs="方正仿宋_GBK"/>
          <w:snapToGrid/>
          <w:kern w:val="2"/>
          <w:sz w:val="32"/>
          <w:szCs w:val="32"/>
          <w:lang w:val="en-US" w:eastAsia="zh-CN" w:bidi="ar"/>
        </w:rPr>
        <w:t>，农村“千吨万人”水源</w:t>
      </w:r>
      <w:r>
        <w:rPr>
          <w:rFonts w:hint="default" w:ascii="FreeSerif" w:hAnsi="FreeSerif" w:eastAsia="方正仿宋_GBK" w:cs="FreeSerif"/>
          <w:snapToGrid/>
          <w:kern w:val="2"/>
          <w:sz w:val="32"/>
          <w:szCs w:val="32"/>
          <w:lang w:val="en-US" w:eastAsia="zh-CN" w:bidi="ar"/>
        </w:rPr>
        <w:t>地水质实行一季度一测。</w:t>
      </w:r>
      <w:r>
        <w:rPr>
          <w:rFonts w:hint="default" w:ascii="FreeSerif" w:hAnsi="FreeSerif" w:eastAsia="方正楷体_GBK" w:cs="FreeSerif"/>
          <w:b w:val="0"/>
          <w:snapToGrid/>
          <w:kern w:val="2"/>
          <w:sz w:val="32"/>
          <w:szCs w:val="32"/>
          <w:lang w:val="en-US" w:eastAsia="zh-CN" w:bidi="ar"/>
        </w:rPr>
        <w:t>（市生态环境局、市水利局、市农业农村局、市畜牧业发展服务中心、市卫健委按职责分工负责）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2．推进农业面源污染防治。</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加强种植业污染防治。持续推进化肥农药减量增效，全面推广精准施肥，推进测土配方施肥、有机肥替代化肥，合理调整施肥结构。加强农业投入品规范化管理，推广应用低毒低残留农药，集成推广绿色防控技术。鼓励新型经营主体、社会化服务组织等开展肥料统配统施、病虫害统防统治等服务。到2025年，全市主要农作物化肥、农药利用率提高到43</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以上。加强农业废弃物和废弃农膜回收利用，到2025年，全市农膜回收率达到85</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。提升秸秆资源化利用水平，健全秸秆收储运体系，合理布局“秸秆变肉”暨千万头肉牛建设项目。到2025年，全市秸秆综合利用率达到86</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以上，力争达到90</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落实十项机制，层层压实秸秆露天禁烧责任，严格实行禁烧管理。在秸秆焚烧高发期，全面开展巡查检查，综合运用无人机和视频监控等信息化手段，及时发现和处置违规焚烧问题，保持秸秆禁烧高压态势。推动修订秸秆禁烧量化责任追究办法，进一步强化责任追究。</w:t>
      </w:r>
      <w:r>
        <w:rPr>
          <w:rFonts w:hint="default" w:ascii="FreeSerif" w:hAnsi="FreeSerif" w:eastAsia="方正楷体_GBK" w:cs="FreeSerif"/>
          <w:b w:val="0"/>
          <w:snapToGrid/>
          <w:kern w:val="2"/>
          <w:sz w:val="32"/>
          <w:szCs w:val="32"/>
          <w:lang w:val="en-US" w:eastAsia="zh-CN" w:bidi="ar"/>
        </w:rPr>
        <w:t>（市生态环境局、市农业农村局、市畜牧业发展服务中心按职责分工负责）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加强畜禽养殖污染防治。编制畜禽养殖污染防治规划。深入推进畜禽粪污资源化利用。鼓励农民合作社等种植经营主体施用初级农家肥、成品有机肥，鼓励对农户购买和施用有机肥给予补贴。监督指导规模养殖场制定畜禽粪污资源化利用计划和台账。加强规模养殖场粪污收集贮存治理配套设施建设，到2025年，全市规模养殖场粪污处理设施配套率稳定在97</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以上，畜禽粪污综合利用率稳定在85</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以上。加强畜禽养殖污染环境监管，落实畜禽规模养殖场环境影响评价及排污许可制度，严格规模化养殖企业监管，对无证排污、不按证排污、污染防治设施配套不到位、粪污未经无害化处理直接还田或向环境排放，或不符合国家和地方排放标准的，要依法查处。推动畜禽规模养殖场配备视频监控设施，防止粪污偷运偷排。依法严查畜禽粪污偷排、直排、丢弃等环境违法行为。</w:t>
      </w:r>
      <w:r>
        <w:rPr>
          <w:rFonts w:hint="default" w:ascii="FreeSerif" w:hAnsi="FreeSerif" w:eastAsia="方正楷体_GBK" w:cs="FreeSerif"/>
          <w:b w:val="0"/>
          <w:snapToGrid/>
          <w:kern w:val="2"/>
          <w:sz w:val="32"/>
          <w:szCs w:val="32"/>
          <w:lang w:val="en-US" w:eastAsia="zh-CN" w:bidi="ar"/>
        </w:rPr>
        <w:t>（市生态环境局、市农业农村局、市畜牧业发展服务中心按职责分工负责）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强化农业面源污染监测。开展洮儿河等灌区农田灌溉用水监测，10万亩以上农田灌区灌溉用水水质监测实行每年2次。</w:t>
      </w:r>
      <w:r>
        <w:rPr>
          <w:rFonts w:hint="default" w:ascii="FreeSerif" w:hAnsi="FreeSerif" w:eastAsia="方正楷体_GBK" w:cs="FreeSerif"/>
          <w:b w:val="0"/>
          <w:snapToGrid/>
          <w:kern w:val="2"/>
          <w:sz w:val="32"/>
          <w:szCs w:val="32"/>
          <w:lang w:val="en-US" w:eastAsia="zh-CN" w:bidi="ar"/>
        </w:rPr>
        <w:t>（市农业农村局、市生态环境局按职责分工负责）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3．推进农村生活污水治理。</w:t>
      </w:r>
    </w:p>
    <w:p>
      <w:pPr>
        <w:pStyle w:val="10"/>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突出重点区域治理。突出重点区域治理。优先围绕城乡结合部、乡镇政府驻地、中心村、重点村、环境敏感区等区域，分区分类、梯次推进农村生活污水治理。加快推进乡村旅游重点村生活污水治理，助推乡村旅游高质量发展。加强农村生活污水治理与厕所革命衔接，积极推进厕所粪污无害处理和资源化利用。到2025年，全市农村生活污水治理率达到25</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，重点旅游村生活污水收集治理率达到100</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w:t>
      </w:r>
      <w:r>
        <w:rPr>
          <w:rFonts w:hint="default" w:ascii="FreeSerif" w:hAnsi="FreeSerif" w:eastAsia="方正楷体_GBK" w:cs="FreeSerif"/>
          <w:b w:val="0"/>
          <w:snapToGrid/>
          <w:kern w:val="2"/>
          <w:sz w:val="32"/>
          <w:szCs w:val="32"/>
          <w:lang w:val="en-US" w:eastAsia="zh-CN" w:bidi="ar"/>
        </w:rPr>
        <w:t>（市生态环境局、市农业农村局、市发改委、市住建局、市文广旅局、市乡村振兴局等按职责分工负责）</w:t>
      </w:r>
    </w:p>
    <w:p>
      <w:pPr>
        <w:pStyle w:val="10"/>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规范农村生活污水治理设施建设运行。因地制宜选取符合农村实际的生活污水治理模式，确定完成时限，达到经济适用、运行可靠的效果。对已建设的污水治理设施，明确管理主体和运维单位，健全运行维护机制，保障设施建设和运行质量。开展农村生活污水处理设施运行情况排查评估、农村生活污水治理成效评估。（</w:t>
      </w:r>
      <w:r>
        <w:rPr>
          <w:rFonts w:hint="default" w:ascii="FreeSerif" w:hAnsi="FreeSerif" w:eastAsia="方正楷体_GBK" w:cs="FreeSerif"/>
          <w:b w:val="0"/>
          <w:snapToGrid/>
          <w:kern w:val="2"/>
          <w:sz w:val="32"/>
          <w:szCs w:val="32"/>
          <w:lang w:val="en-US" w:eastAsia="zh-CN" w:bidi="ar"/>
        </w:rPr>
        <w:t>市生态环境局、市住建局、市乡村振兴局等按职责分工负责</w:t>
      </w:r>
      <w:r>
        <w:rPr>
          <w:rFonts w:hint="default" w:ascii="FreeSerif" w:hAnsi="FreeSerif" w:eastAsia="方正仿宋_GBK" w:cs="FreeSerif"/>
          <w:snapToGrid/>
          <w:kern w:val="2"/>
          <w:sz w:val="32"/>
          <w:szCs w:val="32"/>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4．推进农村黑臭水体整治。</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建立农村黑臭水体监管清单，实施控源截污、清淤疏浚、生态修复、水体净化等措施，科学开展整治，</w:t>
      </w:r>
      <w:r>
        <w:rPr>
          <w:rFonts w:hint="eastAsia" w:ascii="方正仿宋_GBK" w:hAnsi="方正仿宋_GBK" w:eastAsia="方正仿宋_GBK" w:cs="方正仿宋_GBK"/>
          <w:snapToGrid/>
          <w:kern w:val="2"/>
          <w:sz w:val="32"/>
          <w:szCs w:val="32"/>
          <w:lang w:val="en-US" w:eastAsia="zh-CN" w:bidi="ar"/>
        </w:rPr>
        <w:t>并“拉条挂账，逐一销号”。对完成治理的黑臭水体进行监测评估，积累农村黑臭水体治理经验与模式。建立动态排查机制，将新发现的农村黑臭水体或返黑返臭的水体及时纳入监管平台。充分发挥河湖长制作用，促进黑臭水体有效治理和长期管护。各县</w:t>
      </w:r>
      <w:r>
        <w:rPr>
          <w:rFonts w:hint="eastAsia" w:ascii="方正仿宋_GBK" w:hAnsi="方正仿宋_GBK" w:eastAsia="方正仿宋_GBK" w:cs="方正仿宋_GBK"/>
          <w:b w:val="0"/>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市、区）公开农村黑臭水体排查结果和整治成效，鼓励村民参与和公众监督举报。到2025年年底，全市农村黑臭水体整治率达到80</w:t>
      </w:r>
      <w:r>
        <w:rPr>
          <w:rFonts w:hint="default" w:ascii="FreeSerif" w:hAnsi="FreeSerif" w:eastAsia="CESI楷体-GB13000"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。（基本消除较大面积农村黑臭水体）。</w:t>
      </w:r>
      <w:r>
        <w:rPr>
          <w:rFonts w:hint="default" w:ascii="FreeSerif" w:hAnsi="FreeSerif" w:eastAsia="方正楷体_GBK" w:cs="FreeSerif"/>
          <w:b w:val="0"/>
          <w:snapToGrid/>
          <w:kern w:val="2"/>
          <w:sz w:val="32"/>
          <w:szCs w:val="32"/>
          <w:lang w:val="en-US" w:eastAsia="zh-CN" w:bidi="ar"/>
        </w:rPr>
        <w:t>（市生态环境局、市水利局、市农业农村局、市乡村振兴局等按职责分工负责）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5．提升农村生活垃圾处理处置水平。</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多措并举宣传推进农村生活垃圾分类及资源化利用。构建</w:t>
      </w:r>
      <w:r>
        <w:rPr>
          <w:rFonts w:hint="eastAsia" w:ascii="方正仿宋_GBK" w:hAnsi="方正仿宋_GBK" w:eastAsia="方正仿宋_GBK" w:cs="方正仿宋_GBK"/>
          <w:snapToGrid/>
          <w:kern w:val="2"/>
          <w:sz w:val="32"/>
          <w:szCs w:val="32"/>
          <w:lang w:val="en-US" w:eastAsia="zh-CN" w:bidi="ar"/>
        </w:rPr>
        <w:t>“政府主导、企业主体、全民参与”垃圾分类体</w:t>
      </w:r>
      <w:r>
        <w:rPr>
          <w:rFonts w:hint="default" w:ascii="FreeSerif" w:hAnsi="FreeSerif" w:eastAsia="方正仿宋_GBK" w:cs="FreeSerif"/>
          <w:snapToGrid/>
          <w:kern w:val="2"/>
          <w:sz w:val="32"/>
          <w:szCs w:val="32"/>
          <w:lang w:val="en-US" w:eastAsia="zh-CN" w:bidi="ar"/>
        </w:rPr>
        <w:t>系，引导村民分类投放，推动有条件的地方开展农村生活垃圾分类减量先行先试，积极探索符合农村特点和农民习惯、简便易行的分类处理模式，实现源头减量。提升农村生活垃圾水平。协同推进农村生活垃圾、厕所粪污、畜禽粪污等农业生产废弃物资源化处理和综合利用。</w:t>
      </w:r>
      <w:r>
        <w:rPr>
          <w:rFonts w:hint="default" w:ascii="FreeSerif" w:hAnsi="FreeSerif" w:eastAsia="方正楷体_GBK" w:cs="FreeSerif"/>
          <w:b w:val="0"/>
          <w:snapToGrid/>
          <w:kern w:val="2"/>
          <w:sz w:val="32"/>
          <w:szCs w:val="32"/>
          <w:lang w:val="en-US" w:eastAsia="zh-CN" w:bidi="ar"/>
        </w:rPr>
        <w:t>（市农业农村局、市住建局、市发改委、市生态环境局、市乡村振兴局、市供销社等按职责分工负责）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健全收运处置体系。加强农村生活垃圾治理，加快建设生活垃圾分类投放、分类收集、分类运输和分类处置设施，健全农村生活垃圾收运处置体系，实现自然村（组）基本覆盖，逐步提高无害化处理水平。优化垃圾收运处置设施布局，完善县城生活垃圾处理系统，推进城乡环卫一体化。分区分类选择收运处置模式，推进厨余垃圾处理设施建设。</w:t>
      </w:r>
      <w:r>
        <w:rPr>
          <w:rFonts w:hint="default" w:ascii="FreeSerif" w:hAnsi="FreeSerif" w:eastAsia="方正楷体_GBK" w:cs="FreeSerif"/>
          <w:b w:val="0"/>
          <w:snapToGrid/>
          <w:kern w:val="2"/>
          <w:sz w:val="32"/>
          <w:szCs w:val="32"/>
          <w:lang w:val="en-US" w:eastAsia="zh-CN" w:bidi="ar"/>
        </w:rPr>
        <w:t>（市住建局、市农业农村局按职责分工负责）</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firstLine="640" w:firstLineChars="200"/>
        <w:jc w:val="both"/>
        <w:textAlignment w:val="auto"/>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健全农村生活垃圾治理体系。加大农村生活垃圾村庄清扫保洁力度，构建保洁长效机制。优化收运处置设施设备布局，合理确定运输频次和运输路线，减少垃圾收运处置时间，缩短垃圾运输距离，提高垃圾收运处置效率，强化运行管理水平。</w:t>
      </w:r>
      <w:r>
        <w:rPr>
          <w:rFonts w:hint="default" w:ascii="FreeSerif" w:hAnsi="FreeSerif" w:eastAsia="方正楷体_GBK" w:cs="FreeSerif"/>
          <w:b w:val="0"/>
          <w:snapToGrid/>
          <w:kern w:val="2"/>
          <w:sz w:val="32"/>
          <w:szCs w:val="32"/>
          <w:lang w:val="en-US" w:eastAsia="zh-CN" w:bidi="ar"/>
        </w:rPr>
        <w:t>（市农业农村局、市住建局、市乡村振兴局等按职责分工负责）</w:t>
      </w:r>
    </w:p>
    <w:tbl>
      <w:tblPr>
        <w:tblStyle w:val="11"/>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714"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widowControl w:val="0"/>
              <w:suppressLineNumbers w:val="0"/>
              <w:autoSpaceDE w:val="0"/>
              <w:autoSpaceDN/>
              <w:adjustRightInd w:val="0"/>
              <w:snapToGrid w:val="0"/>
              <w:spacing w:before="0" w:beforeAutospacing="0" w:after="0" w:afterAutospacing="0" w:line="0" w:lineRule="atLeast"/>
              <w:ind w:left="0" w:right="0" w:firstLine="0" w:firstLineChars="0"/>
              <w:jc w:val="center"/>
              <w:rPr>
                <w:rFonts w:hint="default" w:ascii="FreeSerif" w:hAnsi="FreeSerif" w:eastAsia="仿宋" w:cs="FreeSerif"/>
                <w:b w:val="0"/>
                <w:spacing w:val="0"/>
                <w:kern w:val="2"/>
                <w:sz w:val="24"/>
                <w:szCs w:val="24"/>
              </w:rPr>
            </w:pPr>
            <w:r>
              <w:rPr>
                <w:rFonts w:hint="default" w:ascii="FreeSerif" w:hAnsi="FreeSerif" w:eastAsia="方正黑体_GBK" w:cs="FreeSerif"/>
                <w:b w:val="0"/>
                <w:snapToGrid/>
                <w:spacing w:val="0"/>
                <w:kern w:val="2"/>
                <w:sz w:val="24"/>
                <w:szCs w:val="24"/>
                <w:lang w:val="en-US" w:eastAsia="zh-CN" w:bidi="ar"/>
              </w:rPr>
              <w:t>专栏3  农业农村生态环境保护重点工程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8714"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宋体" w:cs="FreeSerif"/>
                <w:b w:val="0"/>
                <w:spacing w:val="0"/>
                <w:kern w:val="2"/>
                <w:sz w:val="21"/>
                <w:szCs w:val="21"/>
              </w:rPr>
            </w:pPr>
            <w:r>
              <w:rPr>
                <w:rFonts w:hint="default" w:ascii="FreeSerif" w:hAnsi="FreeSerif" w:eastAsia="方正楷体_GBK" w:cs="FreeSerif"/>
                <w:b w:val="0"/>
                <w:snapToGrid/>
                <w:spacing w:val="0"/>
                <w:kern w:val="2"/>
                <w:sz w:val="21"/>
                <w:szCs w:val="21"/>
                <w:lang w:val="en-US" w:eastAsia="zh-CN" w:bidi="ar"/>
              </w:rPr>
              <w:t>农村环境整治。</w:t>
            </w:r>
            <w:r>
              <w:rPr>
                <w:rFonts w:hint="default" w:ascii="FreeSerif" w:hAnsi="FreeSerif" w:eastAsia="方正仿宋_GBK" w:cs="FreeSerif"/>
                <w:b w:val="0"/>
                <w:snapToGrid/>
                <w:spacing w:val="0"/>
                <w:kern w:val="2"/>
                <w:sz w:val="21"/>
                <w:szCs w:val="21"/>
                <w:lang w:val="en-US" w:eastAsia="zh-CN" w:bidi="ar"/>
              </w:rPr>
              <w:t>以农村饮用水源保护，生活污水、黑臭水体、生活垃圾治理为主，到2025年，完成151个行政村农村环境整治。</w:t>
            </w:r>
          </w:p>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宋体" w:cs="FreeSerif"/>
                <w:b w:val="0"/>
                <w:spacing w:val="0"/>
                <w:kern w:val="2"/>
                <w:sz w:val="21"/>
                <w:szCs w:val="21"/>
              </w:rPr>
            </w:pPr>
            <w:r>
              <w:rPr>
                <w:rFonts w:hint="default" w:ascii="FreeSerif" w:hAnsi="FreeSerif" w:eastAsia="方正楷体_GBK" w:cs="FreeSerif"/>
                <w:b w:val="0"/>
                <w:snapToGrid/>
                <w:spacing w:val="0"/>
                <w:kern w:val="2"/>
                <w:sz w:val="21"/>
                <w:szCs w:val="21"/>
                <w:lang w:val="en-US" w:eastAsia="zh-CN" w:bidi="ar"/>
              </w:rPr>
              <w:t>农村饮用水水源地保护。</w:t>
            </w:r>
            <w:r>
              <w:rPr>
                <w:rFonts w:hint="default" w:ascii="FreeSerif" w:hAnsi="FreeSerif" w:eastAsia="方正仿宋_GBK" w:cs="FreeSerif"/>
                <w:b w:val="0"/>
                <w:snapToGrid/>
                <w:spacing w:val="0"/>
                <w:kern w:val="2"/>
                <w:sz w:val="21"/>
                <w:szCs w:val="21"/>
                <w:lang w:val="en-US" w:eastAsia="zh-CN" w:bidi="ar"/>
              </w:rPr>
              <w:t>开展水源地环境风险排查整治，到2025年年底，完成“千吨万人”饮用水水源地环境整治任务。</w:t>
            </w:r>
          </w:p>
          <w:p>
            <w:pPr>
              <w:pStyle w:val="10"/>
              <w:keepNext w:val="0"/>
              <w:keepLines w:val="0"/>
              <w:widowControl w:val="0"/>
              <w:suppressLineNumbers w:val="0"/>
              <w:overflowPunct w:val="0"/>
              <w:autoSpaceDE w:val="0"/>
              <w:autoSpaceDN/>
              <w:adjustRightInd w:val="0"/>
              <w:snapToGrid w:val="0"/>
              <w:spacing w:before="0" w:beforeAutospacing="0" w:after="0" w:afterAutospacing="0" w:line="0" w:lineRule="atLeast"/>
              <w:ind w:left="0" w:leftChars="0" w:right="0" w:firstLine="420" w:firstLineChars="200"/>
              <w:jc w:val="both"/>
              <w:rPr>
                <w:rFonts w:hint="default" w:ascii="FreeSerif" w:hAnsi="FreeSerif" w:eastAsia="宋体" w:cs="FreeSerif"/>
                <w:b w:val="0"/>
                <w:spacing w:val="0"/>
                <w:kern w:val="2"/>
                <w:sz w:val="24"/>
                <w:szCs w:val="24"/>
              </w:rPr>
            </w:pPr>
            <w:r>
              <w:rPr>
                <w:rFonts w:hint="default" w:ascii="FreeSerif" w:hAnsi="FreeSerif" w:eastAsia="方正楷体_GBK" w:cs="FreeSerif"/>
                <w:b w:val="0"/>
                <w:snapToGrid/>
                <w:spacing w:val="0"/>
                <w:kern w:val="2"/>
                <w:sz w:val="21"/>
                <w:szCs w:val="21"/>
                <w:lang w:val="en-US" w:eastAsia="zh-CN" w:bidi="ar"/>
              </w:rPr>
              <w:t>农村生活污水治理。</w:t>
            </w:r>
            <w:r>
              <w:rPr>
                <w:rFonts w:hint="default" w:ascii="FreeSerif" w:hAnsi="FreeSerif" w:eastAsia="方正仿宋_GBK" w:cs="FreeSerif"/>
                <w:b w:val="0"/>
                <w:snapToGrid/>
                <w:spacing w:val="0"/>
                <w:kern w:val="2"/>
                <w:sz w:val="21"/>
                <w:szCs w:val="21"/>
                <w:lang w:val="en-US" w:eastAsia="zh-CN" w:bidi="ar"/>
              </w:rPr>
              <w:t>优先治理重点区域农村生活污水，到2025年，我市农村生活污水治理率达到25</w:t>
            </w:r>
            <w:r>
              <w:rPr>
                <w:rFonts w:hint="default" w:ascii="FreeSerif" w:hAnsi="FreeSerif" w:eastAsia="CESI楷体-GB13000" w:cs="FreeSerif"/>
                <w:b w:val="0"/>
                <w:snapToGrid/>
                <w:spacing w:val="0"/>
                <w:kern w:val="2"/>
                <w:sz w:val="21"/>
                <w:szCs w:val="21"/>
                <w:lang w:val="en-US" w:eastAsia="zh-CN" w:bidi="ar"/>
              </w:rPr>
              <w:t>%</w:t>
            </w:r>
            <w:r>
              <w:rPr>
                <w:rFonts w:hint="default" w:ascii="FreeSerif" w:hAnsi="FreeSerif" w:eastAsia="方正仿宋_GBK" w:cs="FreeSerif"/>
                <w:b w:val="0"/>
                <w:snapToGrid/>
                <w:spacing w:val="0"/>
                <w:kern w:val="2"/>
                <w:sz w:val="21"/>
                <w:szCs w:val="21"/>
                <w:lang w:val="en-US" w:eastAsia="zh-CN" w:bidi="ar"/>
              </w:rPr>
              <w:t>，重点旅游村生活污水收集治理率达到100</w:t>
            </w:r>
            <w:r>
              <w:rPr>
                <w:rFonts w:hint="default" w:ascii="FreeSerif" w:hAnsi="FreeSerif" w:eastAsia="CESI楷体-GB13000" w:cs="FreeSerif"/>
                <w:b w:val="0"/>
                <w:snapToGrid/>
                <w:spacing w:val="0"/>
                <w:kern w:val="2"/>
                <w:sz w:val="21"/>
                <w:szCs w:val="21"/>
                <w:lang w:val="en-US" w:eastAsia="zh-CN" w:bidi="ar"/>
              </w:rPr>
              <w:t>%</w:t>
            </w:r>
            <w:r>
              <w:rPr>
                <w:rFonts w:hint="default" w:ascii="FreeSerif" w:hAnsi="FreeSerif" w:eastAsia="方正仿宋_GBK" w:cs="FreeSerif"/>
                <w:b w:val="0"/>
                <w:snapToGrid/>
                <w:spacing w:val="0"/>
                <w:kern w:val="2"/>
                <w:sz w:val="21"/>
                <w:szCs w:val="21"/>
                <w:lang w:val="en-US" w:eastAsia="zh-CN" w:bidi="ar"/>
              </w:rPr>
              <w:t>。</w:t>
            </w:r>
          </w:p>
        </w:tc>
      </w:tr>
    </w:tbl>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line="580" w:lineRule="exact"/>
        <w:ind w:left="0" w:leftChars="0" w:firstLine="640" w:firstLineChars="200"/>
        <w:jc w:val="both"/>
        <w:textAlignment w:val="auto"/>
        <w:outlineLvl w:val="1"/>
        <w:rPr>
          <w:rFonts w:hint="default" w:ascii="FreeSerif" w:hAnsi="FreeSerif" w:eastAsia="方正仿宋_GBK" w:cs="FreeSerif"/>
          <w:b w:val="0"/>
          <w:bCs w:val="0"/>
          <w:kern w:val="2"/>
          <w:sz w:val="32"/>
          <w:szCs w:val="32"/>
        </w:rPr>
      </w:pPr>
      <w:bookmarkStart w:id="12" w:name="_Toc510437093"/>
      <w:r>
        <w:rPr>
          <w:rFonts w:hint="default" w:ascii="FreeSerif" w:hAnsi="FreeSerif" w:eastAsia="方正楷体_GBK" w:cs="FreeSerif"/>
          <w:b w:val="0"/>
          <w:kern w:val="0"/>
          <w:sz w:val="32"/>
          <w:szCs w:val="32"/>
        </w:rPr>
        <w:t>（四）提升生态环境监管能力</w:t>
      </w:r>
      <w:bookmarkEnd w:id="12"/>
      <w:r>
        <w:rPr>
          <w:rFonts w:hint="default" w:ascii="FreeSerif" w:hAnsi="FreeSerif" w:eastAsia="方正楷体_GBK" w:cs="FreeSerif"/>
          <w:b w:val="0"/>
          <w:kern w:val="0"/>
          <w:sz w:val="32"/>
          <w:szCs w:val="32"/>
          <w:lang w:eastAsia="zh-CN"/>
        </w:rPr>
        <w:t>。</w:t>
      </w:r>
      <w:r>
        <w:rPr>
          <w:rFonts w:hint="default" w:ascii="FreeSerif" w:hAnsi="FreeSerif" w:eastAsia="方正仿宋_GBK" w:cs="FreeSerif"/>
          <w:b w:val="0"/>
          <w:bCs w:val="0"/>
          <w:snapToGrid/>
          <w:kern w:val="2"/>
          <w:sz w:val="32"/>
          <w:szCs w:val="32"/>
          <w:lang w:val="en-US" w:eastAsia="zh-CN" w:bidi="ar"/>
        </w:rPr>
        <w:t>进一步健全环境监测网络、不断提高环境执法能力与突发环境事件应急处理处置能力，逐步提升监管信息化水平，推进土壤、地下水和农村生态环境保护治理体系与治理能力现代化建设。</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80" w:lineRule="exact"/>
        <w:ind w:left="0" w:leftChars="0" w:right="0" w:firstLine="640" w:firstLineChars="200"/>
        <w:jc w:val="both"/>
        <w:textAlignment w:val="auto"/>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1．推进环境监测体系建设。</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80" w:lineRule="exact"/>
        <w:ind w:left="0" w:leftChars="0" w:right="0" w:firstLine="640" w:firstLineChars="200"/>
        <w:jc w:val="both"/>
        <w:textAlignment w:val="auto"/>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加强土壤环境监测能力建设，强化农产品产地土壤和农产品协同监测，对土壤污染重点监管单位周边土壤至少完成一轮监测。开展典型行业企业用地及周边土壤污染状况调查。完善地下水环境监测网，强化部门协同，适度扩大饮用水水源、县域重点生态功能区地下水点位覆盖范围，构建吉林大安经济开发区化工园区等重点区域监测体系。推进农村环境监测能力建设，开展农村生态环境质量监测，推进日处理能力20吨及以上农村生活污水处理设施出水水质监测，到2025年，实现全市农村环境质量监测点位区县级全覆盖，农田灌溉水质监测体系初步建立。</w:t>
      </w:r>
      <w:r>
        <w:rPr>
          <w:rFonts w:hint="default" w:ascii="FreeSerif" w:hAnsi="FreeSerif" w:eastAsia="方正楷体_GBK" w:cs="FreeSerif"/>
          <w:b w:val="0"/>
          <w:snapToGrid/>
          <w:kern w:val="2"/>
          <w:sz w:val="32"/>
          <w:szCs w:val="32"/>
          <w:lang w:val="en-US" w:eastAsia="zh-CN" w:bidi="ar"/>
        </w:rPr>
        <w:t>（市生态环境局、市农业农村局、市自然资源局、市水利局等按职责分工负责）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2．强化环境执法体系建设。</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推动执法力量向基层和一线倾斜，加强动态巡查、办案等执法工作力量。建立完善生态环境保护行政执法跨部门协作机制，构建高效的</w:t>
      </w:r>
      <w:r>
        <w:rPr>
          <w:rFonts w:hint="eastAsia" w:ascii="方正仿宋_GBK" w:hAnsi="方正仿宋_GBK" w:eastAsia="方正仿宋_GBK" w:cs="方正仿宋_GBK"/>
          <w:snapToGrid/>
          <w:kern w:val="2"/>
          <w:sz w:val="32"/>
          <w:szCs w:val="32"/>
          <w:lang w:val="en-US" w:eastAsia="zh-CN" w:bidi="ar"/>
        </w:rPr>
        <w:t>监管模式。加大化工企业、涉重金属物排放企业、建设用地、危险废物处置场、矿山历史遗留固体废物、规模化畜禽养殖场等重点行业领域执法力度。综合运用“四不两直”、异地交叉执法、“双随机、一公开”等方式，加</w:t>
      </w:r>
      <w:r>
        <w:rPr>
          <w:rFonts w:hint="default" w:ascii="FreeSerif" w:hAnsi="FreeSerif" w:eastAsia="方正仿宋_GBK" w:cs="FreeSerif"/>
          <w:snapToGrid/>
          <w:kern w:val="2"/>
          <w:sz w:val="32"/>
          <w:szCs w:val="32"/>
          <w:lang w:val="en-US" w:eastAsia="zh-CN" w:bidi="ar"/>
        </w:rPr>
        <w:t>大重点抽查力度。严厉打击固体废物特别是危险废物非法倾倒或填埋以及利用渗井、渗坑、裂隙、溶洞等逃避监管的方式向地下排放污染物等环境污染等行为。</w:t>
      </w:r>
      <w:r>
        <w:rPr>
          <w:rFonts w:hint="default" w:ascii="FreeSerif" w:hAnsi="FreeSerif" w:eastAsia="方正楷体_GBK" w:cs="FreeSerif"/>
          <w:b w:val="0"/>
          <w:snapToGrid/>
          <w:kern w:val="2"/>
          <w:sz w:val="32"/>
          <w:szCs w:val="32"/>
          <w:lang w:val="en-US" w:eastAsia="zh-CN" w:bidi="ar"/>
        </w:rPr>
        <w:t>（市生态环境局负责）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3．完善环境应急管理体系。</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仿宋" w:cs="FreeSerif"/>
          <w:kern w:val="2"/>
          <w:sz w:val="32"/>
          <w:szCs w:val="32"/>
        </w:rPr>
      </w:pPr>
      <w:r>
        <w:rPr>
          <w:rFonts w:hint="default" w:ascii="FreeSerif" w:hAnsi="FreeSerif" w:eastAsia="方正仿宋_GBK" w:cs="FreeSerif"/>
          <w:snapToGrid/>
          <w:kern w:val="2"/>
          <w:sz w:val="32"/>
          <w:szCs w:val="32"/>
          <w:lang w:val="en-US" w:eastAsia="zh-CN" w:bidi="ar"/>
        </w:rPr>
        <w:t>健全突发环境事件应急联动机制，加强专业技术培训，进一步提高基层土壤、地下水和农村突发环境事件应急处置能力，完善各级应急预案，指导建立突发环境事件专业化应急处置队伍，配备必要的应急物资、设备，定期进行应急演练。加强粮食主产区、城镇建成区、集中式饮用水水源地、矿产资源开发影响区等土壤、地下水和农村生态环境监测预警。重点加强有色金属冶炼、化工企业和工业园区等土壤和地下水环境风险预警与处置能力。</w:t>
      </w:r>
      <w:r>
        <w:rPr>
          <w:rFonts w:hint="default" w:ascii="FreeSerif" w:hAnsi="FreeSerif" w:eastAsia="方正楷体_GBK" w:cs="FreeSerif"/>
          <w:b w:val="0"/>
          <w:snapToGrid/>
          <w:kern w:val="2"/>
          <w:sz w:val="32"/>
          <w:szCs w:val="32"/>
          <w:lang w:val="en-US" w:eastAsia="zh-CN" w:bidi="ar"/>
        </w:rPr>
        <w:t>（市生态环境局、市应急局等按职责分工负责）</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b w:val="0"/>
          <w:kern w:val="2"/>
          <w:sz w:val="32"/>
          <w:szCs w:val="32"/>
        </w:rPr>
      </w:pPr>
      <w:r>
        <w:rPr>
          <w:rFonts w:hint="default" w:ascii="FreeSerif" w:hAnsi="FreeSerif" w:eastAsia="方正仿宋_GBK" w:cs="FreeSerif"/>
          <w:b w:val="0"/>
          <w:snapToGrid/>
          <w:kern w:val="2"/>
          <w:sz w:val="32"/>
          <w:szCs w:val="32"/>
          <w:lang w:val="en-US" w:eastAsia="zh-CN" w:bidi="ar"/>
        </w:rPr>
        <w:t>4．提升信息化管理水平。</w:t>
      </w:r>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楷体_GBK" w:cs="FreeSerif"/>
          <w:b w:val="0"/>
          <w:kern w:val="2"/>
          <w:sz w:val="32"/>
          <w:szCs w:val="32"/>
        </w:rPr>
      </w:pPr>
      <w:r>
        <w:rPr>
          <w:rFonts w:hint="default" w:ascii="FreeSerif" w:hAnsi="FreeSerif" w:eastAsia="方正仿宋_GBK" w:cs="FreeSerif"/>
          <w:snapToGrid/>
          <w:kern w:val="2"/>
          <w:sz w:val="32"/>
          <w:szCs w:val="32"/>
          <w:lang w:val="en-US" w:eastAsia="zh-CN" w:bidi="ar"/>
        </w:rPr>
        <w:t>将土壤、地下水、农村生态环境管理信息融入全市生态环境保护平台，完善平台监测预警、统计分析、信息发布、效果评估和监督管理等功能。推进建设用地管理全过程监管信息化，完善污染地块管理系统、从业单位信用记录系统、农村生态环境基础信息数据系统，加快实现地下水监测数据分析应用。推动跨部门、跨层级的信息共享、互联互通和业务协同，为改善环境质量提供支持，为推进高质量发展提供参考。</w:t>
      </w:r>
      <w:r>
        <w:rPr>
          <w:rFonts w:hint="default" w:ascii="FreeSerif" w:hAnsi="FreeSerif" w:eastAsia="方正楷体_GBK" w:cs="FreeSerif"/>
          <w:b w:val="0"/>
          <w:snapToGrid/>
          <w:kern w:val="2"/>
          <w:sz w:val="32"/>
          <w:szCs w:val="32"/>
          <w:lang w:val="en-US" w:eastAsia="zh-CN" w:bidi="ar"/>
        </w:rPr>
        <w:t>（市生态环境局、市农业农村局、市自然资源局、市水利局等按职责分工负责）</w:t>
      </w:r>
    </w:p>
    <w:tbl>
      <w:tblPr>
        <w:tblStyle w:val="11"/>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adjustRightInd w:val="0"/>
              <w:snapToGrid w:val="0"/>
              <w:spacing w:before="0" w:beforeAutospacing="0" w:after="0" w:afterAutospacing="0" w:line="0" w:lineRule="atLeast"/>
              <w:ind w:left="0" w:leftChars="0" w:right="0" w:firstLine="0" w:firstLineChars="0"/>
              <w:jc w:val="center"/>
              <w:rPr>
                <w:rFonts w:hint="default" w:ascii="FreeSerif" w:hAnsi="FreeSerif" w:eastAsia="仿宋" w:cs="FreeSerif"/>
                <w:b w:val="0"/>
                <w:spacing w:val="0"/>
                <w:kern w:val="2"/>
                <w:sz w:val="24"/>
                <w:szCs w:val="24"/>
              </w:rPr>
            </w:pPr>
            <w:r>
              <w:rPr>
                <w:rFonts w:hint="default" w:ascii="FreeSerif" w:hAnsi="FreeSerif" w:eastAsia="方正黑体_GBK" w:cs="FreeSerif"/>
                <w:b w:val="0"/>
                <w:snapToGrid/>
                <w:spacing w:val="0"/>
                <w:kern w:val="2"/>
                <w:sz w:val="24"/>
                <w:szCs w:val="24"/>
                <w:lang w:val="en-US" w:eastAsia="zh-CN" w:bidi="ar"/>
              </w:rPr>
              <w:t xml:space="preserve">专栏4  </w:t>
            </w:r>
            <w:r>
              <w:rPr>
                <w:rFonts w:hint="default" w:ascii="FreeSerif" w:hAnsi="FreeSerif" w:eastAsia="方正黑体_GBK" w:cs="FreeSerif"/>
                <w:b w:val="0"/>
                <w:snapToGrid/>
                <w:kern w:val="0"/>
                <w:sz w:val="24"/>
                <w:szCs w:val="24"/>
                <w:lang w:val="en-US" w:eastAsia="zh-CN" w:bidi="ar"/>
              </w:rPr>
              <w:t>监管体系建设提升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871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overflowPunct w:val="0"/>
              <w:autoSpaceDE w:val="0"/>
              <w:autoSpaceDN/>
              <w:adjustRightInd w:val="0"/>
              <w:snapToGrid w:val="0"/>
              <w:spacing w:before="0" w:beforeAutospacing="0" w:after="0" w:afterAutospacing="0" w:line="0" w:lineRule="atLeast"/>
              <w:ind w:left="0" w:right="0" w:firstLine="420" w:firstLineChars="200"/>
              <w:jc w:val="both"/>
              <w:rPr>
                <w:rFonts w:hint="default" w:ascii="FreeSerif" w:hAnsi="FreeSerif" w:eastAsia="方正仿宋_GBK" w:cs="FreeSerif"/>
                <w:kern w:val="2"/>
                <w:sz w:val="21"/>
                <w:szCs w:val="21"/>
              </w:rPr>
            </w:pPr>
            <w:r>
              <w:rPr>
                <w:rFonts w:hint="default" w:ascii="FreeSerif" w:hAnsi="FreeSerif" w:eastAsia="CESI楷体-GB13000" w:cs="FreeSerif"/>
                <w:snapToGrid/>
                <w:kern w:val="2"/>
                <w:sz w:val="21"/>
                <w:szCs w:val="21"/>
                <w:lang w:val="en-US" w:eastAsia="zh-CN" w:bidi="ar"/>
              </w:rPr>
              <w:t>环境监测体系建设。</w:t>
            </w:r>
            <w:r>
              <w:rPr>
                <w:rFonts w:hint="default" w:ascii="FreeSerif" w:hAnsi="FreeSerif" w:eastAsia="方正仿宋_GBK" w:cs="FreeSerif"/>
                <w:snapToGrid/>
                <w:kern w:val="2"/>
                <w:sz w:val="21"/>
                <w:szCs w:val="21"/>
                <w:lang w:val="en-US" w:eastAsia="zh-CN" w:bidi="ar"/>
              </w:rPr>
              <w:t>健全土壤环境监测数据库，国控一般点位五年测一轮，风险源一般点位五年测两轮，重点点位一年一测。建立地下水数据库，重点监控点位监测至少一年一次。完善农业农村生态环境质量监测，到2025年，实现农村环境质量监测点位区县级全覆盖。</w:t>
            </w:r>
          </w:p>
          <w:p>
            <w:pPr>
              <w:keepNext w:val="0"/>
              <w:keepLines w:val="0"/>
              <w:widowControl w:val="0"/>
              <w:suppressLineNumbers w:val="0"/>
              <w:overflowPunct w:val="0"/>
              <w:autoSpaceDE w:val="0"/>
              <w:autoSpaceDN/>
              <w:adjustRightInd w:val="0"/>
              <w:snapToGrid w:val="0"/>
              <w:spacing w:before="0" w:beforeAutospacing="0" w:after="0" w:afterAutospacing="0" w:line="0" w:lineRule="atLeast"/>
              <w:ind w:left="0" w:right="0" w:firstLine="420" w:firstLineChars="200"/>
              <w:jc w:val="both"/>
              <w:rPr>
                <w:rFonts w:hint="default" w:ascii="FreeSerif" w:hAnsi="FreeSerif" w:eastAsia="方正仿宋_GBK" w:cs="FreeSerif"/>
                <w:kern w:val="2"/>
                <w:sz w:val="21"/>
                <w:szCs w:val="21"/>
              </w:rPr>
            </w:pPr>
            <w:r>
              <w:rPr>
                <w:rFonts w:hint="default" w:ascii="FreeSerif" w:hAnsi="FreeSerif" w:eastAsia="CESI楷体-GB13000" w:cs="FreeSerif"/>
                <w:snapToGrid/>
                <w:kern w:val="2"/>
                <w:sz w:val="21"/>
                <w:szCs w:val="21"/>
                <w:lang w:val="en-US" w:eastAsia="zh-CN" w:bidi="ar"/>
              </w:rPr>
              <w:t>环境执法体系建设</w:t>
            </w:r>
            <w:r>
              <w:rPr>
                <w:rFonts w:hint="default" w:ascii="FreeSerif" w:hAnsi="FreeSerif" w:eastAsia="方正仿宋_GBK" w:cs="FreeSerif"/>
                <w:snapToGrid/>
                <w:kern w:val="2"/>
                <w:sz w:val="21"/>
                <w:szCs w:val="21"/>
                <w:lang w:val="en-US" w:eastAsia="zh-CN" w:bidi="ar"/>
              </w:rPr>
              <w:t>。加强基层和一线执法力量，推动跨部门联合监管，检查结果共享互认，生态环境“双随机、一公开</w:t>
            </w:r>
            <w:r>
              <w:rPr>
                <w:rFonts w:hint="default" w:ascii="FreeSerif" w:hAnsi="FreeSerif" w:eastAsia="FreeSerif" w:cs="FreeSerif"/>
                <w:snapToGrid/>
                <w:kern w:val="2"/>
                <w:sz w:val="21"/>
                <w:szCs w:val="21"/>
                <w:lang w:val="en-US" w:eastAsia="zh-CN" w:bidi="ar"/>
              </w:rPr>
              <w:t>”</w:t>
            </w:r>
            <w:r>
              <w:rPr>
                <w:rFonts w:hint="default" w:ascii="FreeSerif" w:hAnsi="FreeSerif" w:eastAsia="方正仿宋_GBK" w:cs="FreeSerif"/>
                <w:snapToGrid/>
                <w:kern w:val="2"/>
                <w:sz w:val="21"/>
                <w:szCs w:val="21"/>
                <w:lang w:val="en-US" w:eastAsia="zh-CN" w:bidi="ar"/>
              </w:rPr>
              <w:t>监管工作全覆盖、常态化。</w:t>
            </w:r>
          </w:p>
          <w:p>
            <w:pPr>
              <w:keepNext w:val="0"/>
              <w:keepLines w:val="0"/>
              <w:widowControl w:val="0"/>
              <w:suppressLineNumbers w:val="0"/>
              <w:overflowPunct w:val="0"/>
              <w:autoSpaceDE w:val="0"/>
              <w:autoSpaceDN/>
              <w:adjustRightInd w:val="0"/>
              <w:snapToGrid w:val="0"/>
              <w:spacing w:before="0" w:beforeAutospacing="0" w:after="0" w:afterAutospacing="0" w:line="0" w:lineRule="atLeast"/>
              <w:ind w:left="0" w:right="0" w:firstLine="420" w:firstLineChars="200"/>
              <w:jc w:val="both"/>
              <w:rPr>
                <w:rFonts w:hint="default" w:ascii="FreeSerif" w:hAnsi="FreeSerif" w:eastAsia="宋体" w:cs="FreeSerif"/>
                <w:b w:val="0"/>
                <w:spacing w:val="0"/>
                <w:kern w:val="2"/>
                <w:sz w:val="21"/>
                <w:szCs w:val="21"/>
              </w:rPr>
            </w:pPr>
            <w:r>
              <w:rPr>
                <w:rFonts w:hint="default" w:ascii="FreeSerif" w:hAnsi="FreeSerif" w:eastAsia="CESI楷体-GB13000" w:cs="FreeSerif"/>
                <w:snapToGrid/>
                <w:kern w:val="2"/>
                <w:sz w:val="21"/>
                <w:szCs w:val="21"/>
                <w:lang w:val="en-US" w:eastAsia="zh-CN" w:bidi="ar"/>
              </w:rPr>
              <w:t>环境应急管理体系建设</w:t>
            </w:r>
            <w:r>
              <w:rPr>
                <w:rFonts w:hint="default" w:ascii="FreeSerif" w:hAnsi="FreeSerif" w:eastAsia="方正仿宋_GBK" w:cs="FreeSerif"/>
                <w:snapToGrid/>
                <w:kern w:val="2"/>
                <w:sz w:val="21"/>
                <w:szCs w:val="21"/>
                <w:lang w:val="en-US" w:eastAsia="zh-CN" w:bidi="ar"/>
              </w:rPr>
              <w:t>。加强应急能力建设，提升监测预警和风险管控能力。</w:t>
            </w:r>
          </w:p>
        </w:tc>
      </w:tr>
    </w:tbl>
    <w:p>
      <w:pPr>
        <w:pStyle w:val="3"/>
        <w:keepNext w:val="0"/>
        <w:keepLines w:val="0"/>
        <w:widowControl/>
        <w:suppressLineNumbers w:val="0"/>
        <w:autoSpaceDE w:val="0"/>
        <w:autoSpaceDN/>
        <w:spacing w:line="578" w:lineRule="exact"/>
        <w:ind w:left="0" w:leftChars="0" w:firstLine="643"/>
        <w:jc w:val="both"/>
        <w:rPr>
          <w:rFonts w:hint="default" w:ascii="FreeSerif" w:hAnsi="FreeSerif" w:eastAsia="方正黑体_GBK" w:cs="FreeSerif"/>
          <w:b w:val="0"/>
          <w:kern w:val="44"/>
          <w:sz w:val="32"/>
          <w:szCs w:val="32"/>
        </w:rPr>
      </w:pPr>
      <w:bookmarkStart w:id="13" w:name="_Toc910211291"/>
      <w:r>
        <w:rPr>
          <w:rFonts w:hint="default" w:ascii="FreeSerif" w:hAnsi="FreeSerif" w:eastAsia="方正黑体_GBK" w:cs="FreeSerif"/>
          <w:b w:val="0"/>
          <w:kern w:val="44"/>
          <w:sz w:val="32"/>
          <w:szCs w:val="32"/>
        </w:rPr>
        <w:t>四、保障措施</w:t>
      </w:r>
      <w:bookmarkEnd w:id="13"/>
    </w:p>
    <w:p>
      <w:pPr>
        <w:keepNext w:val="0"/>
        <w:keepLines w:val="0"/>
        <w:widowControl w:val="0"/>
        <w:suppressLineNumbers w:val="0"/>
        <w:autoSpaceDE w:val="0"/>
        <w:autoSpaceDN/>
        <w:adjustRightInd w:val="0"/>
        <w:snapToGrid w:val="0"/>
        <w:spacing w:before="0" w:beforeAutospacing="0" w:after="0" w:afterAutospacing="0" w:line="578" w:lineRule="exact"/>
        <w:ind w:left="0" w:leftChars="0" w:right="0" w:firstLine="640" w:firstLineChars="200"/>
        <w:jc w:val="both"/>
        <w:rPr>
          <w:rFonts w:hint="default" w:ascii="FreeSerif" w:hAnsi="FreeSerif" w:eastAsia="方正仿宋_GBK" w:cs="FreeSerif"/>
          <w:kern w:val="2"/>
          <w:sz w:val="32"/>
          <w:szCs w:val="32"/>
        </w:rPr>
      </w:pPr>
      <w:r>
        <w:rPr>
          <w:rFonts w:hint="default" w:ascii="FreeSerif" w:hAnsi="FreeSerif" w:eastAsia="方正仿宋_GBK" w:cs="FreeSerif"/>
          <w:snapToGrid/>
          <w:kern w:val="2"/>
          <w:sz w:val="32"/>
          <w:szCs w:val="32"/>
          <w:lang w:val="en-US" w:eastAsia="zh-CN" w:bidi="ar"/>
        </w:rPr>
        <w:t>规划保障实施机制主要包括以下几个方面：加强组织领导，明确主体责任。加大资金投入力度，研究经济政策支持措施。加强实施评估，明确年度评估要求。加强宣传教育，营造土壤、地下水和农业农村生态环境保护的良好社会氛围。</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outlineLvl w:val="1"/>
        <w:rPr>
          <w:rFonts w:hint="default" w:ascii="FreeSerif" w:hAnsi="FreeSerif" w:eastAsia="方正仿宋_GBK" w:cs="FreeSerif"/>
          <w:kern w:val="2"/>
          <w:sz w:val="32"/>
          <w:szCs w:val="32"/>
        </w:rPr>
      </w:pPr>
      <w:bookmarkStart w:id="14" w:name="_Toc293668412"/>
      <w:r>
        <w:rPr>
          <w:rFonts w:hint="default" w:ascii="FreeSerif" w:hAnsi="FreeSerif" w:eastAsia="方正楷体_GBK" w:cs="FreeSerif"/>
          <w:snapToGrid/>
          <w:kern w:val="2"/>
          <w:sz w:val="32"/>
          <w:szCs w:val="32"/>
          <w:lang w:val="en-US" w:eastAsia="zh-CN" w:bidi="ar"/>
        </w:rPr>
        <w:t>（一）加强组织领导</w:t>
      </w:r>
      <w:bookmarkEnd w:id="14"/>
      <w:r>
        <w:rPr>
          <w:rFonts w:hint="default" w:ascii="FreeSerif" w:hAnsi="FreeSerif" w:eastAsia="方正楷体_GBK"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建立完善市负总责、各县区抓落实的工作推进机制。市直相关</w:t>
      </w:r>
      <w:r>
        <w:rPr>
          <w:rFonts w:hint="eastAsia" w:ascii="方正仿宋_GBK" w:hAnsi="方正仿宋_GBK" w:eastAsia="方正仿宋_GBK" w:cs="方正仿宋_GBK"/>
          <w:snapToGrid/>
          <w:kern w:val="2"/>
          <w:sz w:val="32"/>
          <w:szCs w:val="32"/>
          <w:lang w:val="en-US" w:eastAsia="zh-CN" w:bidi="ar"/>
        </w:rPr>
        <w:t>部门要根据规划要求，落实“一岗双责”</w:t>
      </w:r>
      <w:r>
        <w:rPr>
          <w:rFonts w:hint="default" w:ascii="FreeSerif" w:hAnsi="FreeSerif" w:eastAsia="方正仿宋_GBK" w:cs="FreeSerif"/>
          <w:snapToGrid/>
          <w:kern w:val="2"/>
          <w:sz w:val="32"/>
          <w:szCs w:val="32"/>
          <w:lang w:val="en-US" w:eastAsia="zh-CN" w:bidi="ar"/>
        </w:rPr>
        <w:t>，密切配合、通力协作、形成合力。市生态环境局每年向省生态环境厅报告土壤、地下水与农业农村生态环境保护工作进展情况。</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outlineLvl w:val="1"/>
        <w:rPr>
          <w:rFonts w:hint="default" w:ascii="FreeSerif" w:hAnsi="FreeSerif" w:eastAsia="方正仿宋_GBK" w:cs="FreeSerif"/>
          <w:kern w:val="2"/>
          <w:sz w:val="32"/>
          <w:szCs w:val="32"/>
        </w:rPr>
      </w:pPr>
      <w:bookmarkStart w:id="15" w:name="_Toc1668450299"/>
      <w:r>
        <w:rPr>
          <w:rFonts w:hint="default" w:ascii="FreeSerif" w:hAnsi="FreeSerif" w:eastAsia="方正楷体_GBK" w:cs="FreeSerif"/>
          <w:snapToGrid/>
          <w:kern w:val="2"/>
          <w:sz w:val="32"/>
          <w:szCs w:val="32"/>
          <w:lang w:val="en-US" w:eastAsia="zh-CN" w:bidi="ar"/>
        </w:rPr>
        <w:t>（二）加大资金投入</w:t>
      </w:r>
      <w:bookmarkEnd w:id="15"/>
      <w:r>
        <w:rPr>
          <w:rFonts w:hint="default" w:ascii="FreeSerif" w:hAnsi="FreeSerif" w:eastAsia="方正楷体_GBK"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加大土壤、地下水与农业农村污染防治工作资金投入，拓宽融资渠道，发挥政策性和开发性金融机构作用，吸引社会资本投入，确保污染防治任务按时完成。加大政府购买服务力度，推动受污染耕地、地下水型饮用水水源、农村面源污染等以政府为责任主体的治理与修复。有条件的地区探索开展农村生活污水治理收费制度。</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outlineLvl w:val="1"/>
        <w:rPr>
          <w:rFonts w:hint="default" w:ascii="FreeSerif" w:hAnsi="FreeSerif" w:eastAsia="方正仿宋_GBK" w:cs="FreeSerif"/>
          <w:kern w:val="2"/>
          <w:sz w:val="32"/>
          <w:szCs w:val="32"/>
        </w:rPr>
      </w:pPr>
      <w:bookmarkStart w:id="16" w:name="_Toc2038549728"/>
      <w:r>
        <w:rPr>
          <w:rFonts w:hint="default" w:ascii="FreeSerif" w:hAnsi="FreeSerif" w:eastAsia="方正楷体_GBK" w:cs="FreeSerif"/>
          <w:snapToGrid/>
          <w:kern w:val="2"/>
          <w:sz w:val="32"/>
          <w:szCs w:val="32"/>
          <w:lang w:val="en-US" w:eastAsia="zh-CN" w:bidi="ar"/>
        </w:rPr>
        <w:t>（三）加大宣传引导</w:t>
      </w:r>
      <w:bookmarkEnd w:id="16"/>
      <w:r>
        <w:rPr>
          <w:rFonts w:hint="default" w:ascii="FreeSerif" w:hAnsi="FreeSerif" w:eastAsia="方正楷体_GBK"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充分利用电视、广播、报刊、互联网、微信公众号等</w:t>
      </w:r>
      <w:r>
        <w:rPr>
          <w:rFonts w:hint="eastAsia" w:ascii="方正仿宋_GBK" w:hAnsi="方正仿宋_GBK" w:eastAsia="方正仿宋_GBK" w:cs="方正仿宋_GBK"/>
          <w:snapToGrid/>
          <w:kern w:val="2"/>
          <w:sz w:val="32"/>
          <w:szCs w:val="32"/>
          <w:lang w:val="en-US" w:eastAsia="zh-CN" w:bidi="ar"/>
        </w:rPr>
        <w:t>媒体，结合“六五”环境日、“九二六”吉林生态日</w:t>
      </w:r>
      <w:r>
        <w:rPr>
          <w:rFonts w:hint="default" w:ascii="FreeSerif" w:hAnsi="FreeSerif" w:eastAsia="方正仿宋_GBK" w:cs="FreeSerif"/>
          <w:snapToGrid/>
          <w:kern w:val="2"/>
          <w:sz w:val="32"/>
          <w:szCs w:val="32"/>
          <w:lang w:val="en-US" w:eastAsia="zh-CN" w:bidi="ar"/>
        </w:rPr>
        <w:t>等重要环保主题宣传活动，围绕实现美丽、平安、幸福白城为目标，有针对性地宣传普及土壤、地下水与农业农村生态环境保护知识，增强公众生态环境意识和责任意识。强化宣传培训，采用培训班、现场会、视频会等形式，组织召开农村环境整治项目申报、农村生活污水治理、农业面源污染防治等技术培训。推进土壤、地下水与农业农村生态环境保护融入党政机关、学校、工厂、社区、农村等环境宣传培训工作，大力推广绿色生产生活方式，形成全社会保护土壤、地下水与农业农村的良好氛围。</w:t>
      </w:r>
    </w:p>
    <w:p>
      <w:pPr>
        <w:keepNext w:val="0"/>
        <w:keepLines w:val="0"/>
        <w:widowControl w:val="0"/>
        <w:suppressLineNumbers w:val="0"/>
        <w:overflowPunct w:val="0"/>
        <w:autoSpaceDE w:val="0"/>
        <w:autoSpaceDN/>
        <w:adjustRightInd w:val="0"/>
        <w:snapToGrid w:val="0"/>
        <w:spacing w:before="0" w:beforeAutospacing="0" w:after="0" w:afterAutospacing="0" w:line="578" w:lineRule="exact"/>
        <w:ind w:left="0" w:right="0" w:firstLine="640" w:firstLineChars="200"/>
        <w:jc w:val="both"/>
        <w:outlineLvl w:val="1"/>
        <w:rPr>
          <w:rFonts w:hint="default" w:ascii="FreeSerif" w:hAnsi="FreeSerif" w:eastAsia="方正仿宋_GBK" w:cs="FreeSerif"/>
          <w:b w:val="0"/>
          <w:bCs w:val="0"/>
          <w:sz w:val="32"/>
          <w:szCs w:val="32"/>
          <w:lang w:eastAsia="zh-CN"/>
        </w:rPr>
      </w:pPr>
      <w:bookmarkStart w:id="17" w:name="_Toc575843450"/>
      <w:r>
        <w:rPr>
          <w:rFonts w:hint="default" w:ascii="FreeSerif" w:hAnsi="FreeSerif" w:eastAsia="方正楷体_GBK" w:cs="FreeSerif"/>
          <w:snapToGrid/>
          <w:kern w:val="2"/>
          <w:sz w:val="32"/>
          <w:szCs w:val="32"/>
          <w:lang w:val="en-US" w:eastAsia="zh-CN" w:bidi="ar"/>
        </w:rPr>
        <w:t>（四）加强实施效果评估</w:t>
      </w:r>
      <w:bookmarkEnd w:id="17"/>
      <w:r>
        <w:rPr>
          <w:rFonts w:hint="default" w:ascii="FreeSerif" w:hAnsi="FreeSerif" w:eastAsia="方正楷体_GBK" w:cs="FreeSerif"/>
          <w:snapToGrid/>
          <w:kern w:val="2"/>
          <w:sz w:val="32"/>
          <w:szCs w:val="32"/>
          <w:lang w:val="en-US" w:eastAsia="zh-CN" w:bidi="ar"/>
        </w:rPr>
        <w:t>。</w:t>
      </w:r>
      <w:r>
        <w:rPr>
          <w:rFonts w:hint="default" w:ascii="FreeSerif" w:hAnsi="FreeSerif" w:eastAsia="方正仿宋_GBK" w:cs="FreeSerif"/>
          <w:snapToGrid/>
          <w:kern w:val="2"/>
          <w:sz w:val="32"/>
          <w:szCs w:val="32"/>
          <w:lang w:val="en-US" w:eastAsia="zh-CN" w:bidi="ar"/>
        </w:rPr>
        <w:t>实行目标责任制和考核评价制度，分解落实目标任务。市生态环境局会同相关部门围绕本规划目标指标、重点任务、重大工程进展情况进行调度。在2023年、</w:t>
      </w:r>
      <w:r>
        <w:rPr>
          <w:rFonts w:hint="default" w:ascii="FreeSerif" w:hAnsi="FreeSerif" w:eastAsia="FreeSerif" w:cs="FreeSerif"/>
          <w:snapToGrid/>
          <w:kern w:val="2"/>
          <w:sz w:val="32"/>
          <w:szCs w:val="32"/>
          <w:lang w:val="en-US" w:eastAsia="zh-CN" w:bidi="ar"/>
        </w:rPr>
        <w:t>2025</w:t>
      </w:r>
      <w:r>
        <w:rPr>
          <w:rFonts w:hint="default" w:ascii="FreeSerif" w:hAnsi="FreeSerif" w:eastAsia="方正仿宋_GBK" w:cs="FreeSerif"/>
          <w:snapToGrid/>
          <w:kern w:val="2"/>
          <w:sz w:val="32"/>
          <w:szCs w:val="32"/>
          <w:lang w:val="en-US" w:eastAsia="zh-CN" w:bidi="ar"/>
        </w:rPr>
        <w:t>年年底，分别对本规划实施情况进行中期评估和总结评估。</w:t>
      </w:r>
    </w:p>
    <w:p>
      <w:pPr>
        <w:pStyle w:val="2"/>
        <w:ind w:left="0" w:leftChars="0" w:firstLine="0" w:firstLineChars="0"/>
        <w:rPr>
          <w:rFonts w:hint="default" w:ascii="FreeSerif" w:hAnsi="FreeSerif" w:eastAsia="方正仿宋_GBK" w:cs="FreeSerif"/>
          <w:b w:val="0"/>
          <w:bCs w:val="0"/>
          <w:sz w:val="32"/>
          <w:szCs w:val="32"/>
          <w:lang w:eastAsia="zh-CN"/>
        </w:rPr>
      </w:pPr>
    </w:p>
    <w:sectPr>
      <w:footerReference r:id="rId10" w:type="first"/>
      <w:footerReference r:id="rId9" w:type="default"/>
      <w:pgSz w:w="11900" w:h="16821"/>
      <w:pgMar w:top="2041" w:right="1531" w:bottom="2041" w:left="1531" w:header="850" w:footer="1672" w:gutter="0"/>
      <w:pgNumType w:fmt="decimal" w:start="2"/>
      <w:cols w:space="720" w:num="1"/>
      <w:titlePg/>
      <w:rtlGutter w:val="0"/>
      <w:docGrid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reeSerif">
    <w:altName w:val="Simplified Arabic"/>
    <w:panose1 w:val="02020603050405020304"/>
    <w:charset w:val="00"/>
    <w:family w:val="auto"/>
    <w:pitch w:val="default"/>
    <w:sig w:usb0="00000000" w:usb1="00000000" w:usb2="43501B29" w:usb3="04000043" w:csb0="6001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CESI楷体-GB13000">
    <w:altName w:val="楷体_GB2312"/>
    <w:panose1 w:val="020005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AvYYd8BAAC/AwAADgAAAGRycy9lMm9Eb2MueG1srVPBjtMwEL0j8Q+W&#10;7zRppUV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m18l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dAvYYd8BAAC/AwAADgAAAAAA&#10;AAABACAAAAAeAQAAZHJzL2Uyb0RvYy54bWxQSwUGAAAAAAYABgBZAQAAbwU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FreeSerif" w:hAnsi="FreeSerif" w:cs="FreeSerif"/>
                              <w:sz w:val="28"/>
                              <w:szCs w:val="28"/>
                            </w:rPr>
                          </w:pPr>
                          <w:r>
                            <w:rPr>
                              <w:rFonts w:hint="default" w:ascii="FreeSerif" w:hAnsi="FreeSerif" w:cs="FreeSerif"/>
                              <w:sz w:val="28"/>
                              <w:szCs w:val="28"/>
                            </w:rPr>
                            <w:t xml:space="preserve">— </w:t>
                          </w:r>
                          <w:r>
                            <w:rPr>
                              <w:rFonts w:hint="default" w:ascii="FreeSerif" w:hAnsi="FreeSerif" w:cs="FreeSerif"/>
                              <w:sz w:val="28"/>
                              <w:szCs w:val="28"/>
                            </w:rPr>
                            <w:fldChar w:fldCharType="begin"/>
                          </w:r>
                          <w:r>
                            <w:rPr>
                              <w:rFonts w:hint="default" w:ascii="FreeSerif" w:hAnsi="FreeSerif" w:cs="FreeSerif"/>
                              <w:sz w:val="28"/>
                              <w:szCs w:val="28"/>
                            </w:rPr>
                            <w:instrText xml:space="preserve"> PAGE  \* MERGEFORMAT </w:instrText>
                          </w:r>
                          <w:r>
                            <w:rPr>
                              <w:rFonts w:hint="default" w:ascii="FreeSerif" w:hAnsi="FreeSerif" w:cs="FreeSerif"/>
                              <w:sz w:val="28"/>
                              <w:szCs w:val="28"/>
                            </w:rPr>
                            <w:fldChar w:fldCharType="separate"/>
                          </w:r>
                          <w:r>
                            <w:rPr>
                              <w:rFonts w:hint="default" w:ascii="FreeSerif" w:hAnsi="FreeSerif" w:cs="FreeSerif"/>
                              <w:sz w:val="28"/>
                              <w:szCs w:val="28"/>
                            </w:rPr>
                            <w:t>2</w:t>
                          </w:r>
                          <w:r>
                            <w:rPr>
                              <w:rFonts w:hint="default" w:ascii="FreeSerif" w:hAnsi="FreeSerif" w:cs="FreeSerif"/>
                              <w:sz w:val="28"/>
                              <w:szCs w:val="28"/>
                            </w:rPr>
                            <w:fldChar w:fldCharType="end"/>
                          </w:r>
                          <w:r>
                            <w:rPr>
                              <w:rFonts w:hint="default" w:ascii="FreeSerif" w:hAnsi="FreeSerif" w:cs="FreeSerif"/>
                              <w:sz w:val="28"/>
                              <w:szCs w:val="28"/>
                            </w:rPr>
                            <w:t xml:space="preserve"> —</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6rYD3gEAAL8DAAAOAAAAAAAA&#10;AAEAIAAAAB4BAABkcnMvZTJvRG9jLnhtbFBLBQYAAAAABgAGAFkBAABuBQAAAAA=&#10;">
              <v:fill on="f" focussize="0,0"/>
              <v:stroke on="f"/>
              <v:imagedata o:title=""/>
              <o:lock v:ext="edit" aspectratio="f"/>
              <v:textbox inset="0mm,0mm,0mm,0mm" style="mso-fit-shape-to-text:t;">
                <w:txbxContent>
                  <w:p>
                    <w:pPr>
                      <w:pStyle w:val="6"/>
                      <w:rPr>
                        <w:rFonts w:hint="default" w:ascii="FreeSerif" w:hAnsi="FreeSerif" w:cs="FreeSerif"/>
                        <w:sz w:val="28"/>
                        <w:szCs w:val="28"/>
                      </w:rPr>
                    </w:pPr>
                    <w:r>
                      <w:rPr>
                        <w:rFonts w:hint="default" w:ascii="FreeSerif" w:hAnsi="FreeSerif" w:cs="FreeSerif"/>
                        <w:sz w:val="28"/>
                        <w:szCs w:val="28"/>
                      </w:rPr>
                      <w:t xml:space="preserve">— </w:t>
                    </w:r>
                    <w:r>
                      <w:rPr>
                        <w:rFonts w:hint="default" w:ascii="FreeSerif" w:hAnsi="FreeSerif" w:cs="FreeSerif"/>
                        <w:sz w:val="28"/>
                        <w:szCs w:val="28"/>
                      </w:rPr>
                      <w:fldChar w:fldCharType="begin"/>
                    </w:r>
                    <w:r>
                      <w:rPr>
                        <w:rFonts w:hint="default" w:ascii="FreeSerif" w:hAnsi="FreeSerif" w:cs="FreeSerif"/>
                        <w:sz w:val="28"/>
                        <w:szCs w:val="28"/>
                      </w:rPr>
                      <w:instrText xml:space="preserve"> PAGE  \* MERGEFORMAT </w:instrText>
                    </w:r>
                    <w:r>
                      <w:rPr>
                        <w:rFonts w:hint="default" w:ascii="FreeSerif" w:hAnsi="FreeSerif" w:cs="FreeSerif"/>
                        <w:sz w:val="28"/>
                        <w:szCs w:val="28"/>
                      </w:rPr>
                      <w:fldChar w:fldCharType="separate"/>
                    </w:r>
                    <w:r>
                      <w:rPr>
                        <w:rFonts w:hint="default" w:ascii="FreeSerif" w:hAnsi="FreeSerif" w:cs="FreeSerif"/>
                        <w:sz w:val="28"/>
                        <w:szCs w:val="28"/>
                      </w:rPr>
                      <w:t>2</w:t>
                    </w:r>
                    <w:r>
                      <w:rPr>
                        <w:rFonts w:hint="default" w:ascii="FreeSerif" w:hAnsi="FreeSerif" w:cs="FreeSerif"/>
                        <w:sz w:val="28"/>
                        <w:szCs w:val="28"/>
                      </w:rPr>
                      <w:fldChar w:fldCharType="end"/>
                    </w:r>
                    <w:r>
                      <w:rPr>
                        <w:rFonts w:hint="default" w:ascii="FreeSerif" w:hAnsi="FreeSerif" w:cs="FreeSerif"/>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0" w:leftChars="0" w:firstLine="0" w:firstLineChars="0"/>
                            <w:rPr>
                              <w:rFonts w:hint="default" w:ascii="FreeSerif" w:hAnsi="FreeSerif" w:cs="FreeSerif"/>
                              <w:sz w:val="28"/>
                              <w:szCs w:val="28"/>
                            </w:rPr>
                          </w:pPr>
                          <w:r>
                            <w:rPr>
                              <w:rFonts w:hint="default" w:ascii="FreeSerif" w:hAnsi="FreeSerif" w:cs="FreeSerif"/>
                              <w:sz w:val="28"/>
                              <w:szCs w:val="28"/>
                            </w:rPr>
                            <w:t xml:space="preserve">— </w:t>
                          </w:r>
                          <w:r>
                            <w:rPr>
                              <w:rFonts w:hint="default" w:ascii="FreeSerif" w:hAnsi="FreeSerif" w:cs="FreeSerif"/>
                              <w:sz w:val="28"/>
                              <w:szCs w:val="28"/>
                            </w:rPr>
                            <w:fldChar w:fldCharType="begin"/>
                          </w:r>
                          <w:r>
                            <w:rPr>
                              <w:rFonts w:hint="default" w:ascii="FreeSerif" w:hAnsi="FreeSerif" w:cs="FreeSerif"/>
                              <w:sz w:val="28"/>
                              <w:szCs w:val="28"/>
                            </w:rPr>
                            <w:instrText xml:space="preserve"> PAGE  \* MERGEFORMAT </w:instrText>
                          </w:r>
                          <w:r>
                            <w:rPr>
                              <w:rFonts w:hint="default" w:ascii="FreeSerif" w:hAnsi="FreeSerif" w:cs="FreeSerif"/>
                              <w:sz w:val="28"/>
                              <w:szCs w:val="28"/>
                            </w:rPr>
                            <w:fldChar w:fldCharType="separate"/>
                          </w:r>
                          <w:r>
                            <w:rPr>
                              <w:rFonts w:hint="default" w:ascii="FreeSerif" w:hAnsi="FreeSerif" w:cs="FreeSerif"/>
                              <w:sz w:val="28"/>
                              <w:szCs w:val="28"/>
                            </w:rPr>
                            <w:t>2</w:t>
                          </w:r>
                          <w:r>
                            <w:rPr>
                              <w:rFonts w:hint="default" w:ascii="FreeSerif" w:hAnsi="FreeSerif" w:cs="FreeSerif"/>
                              <w:sz w:val="28"/>
                              <w:szCs w:val="28"/>
                            </w:rPr>
                            <w:fldChar w:fldCharType="end"/>
                          </w:r>
                          <w:r>
                            <w:rPr>
                              <w:rFonts w:hint="default" w:ascii="FreeSerif" w:hAnsi="FreeSerif" w:cs="FreeSerif"/>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ZvO94BAAC+AwAADgAAAGRycy9lMm9Eb2MueG1srVPBjtMwEL0j8Q+W&#10;7zTZI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llm873gEAAL4DAAAOAAAAAAAA&#10;AAEAIAAAAB4BAABkcnMvZTJvRG9jLnhtbFBLBQYAAAAABgAGAFkBAABuBQAAAAA=&#10;">
              <v:fill on="f" focussize="0,0"/>
              <v:stroke on="f"/>
              <v:imagedata o:title=""/>
              <o:lock v:ext="edit" aspectratio="f"/>
              <v:textbox inset="0mm,0mm,0mm,0mm" style="mso-fit-shape-to-text:t;">
                <w:txbxContent>
                  <w:p>
                    <w:pPr>
                      <w:pStyle w:val="6"/>
                      <w:ind w:left="0" w:leftChars="0" w:firstLine="0" w:firstLineChars="0"/>
                      <w:rPr>
                        <w:rFonts w:hint="default" w:ascii="FreeSerif" w:hAnsi="FreeSerif" w:cs="FreeSerif"/>
                        <w:sz w:val="28"/>
                        <w:szCs w:val="28"/>
                      </w:rPr>
                    </w:pPr>
                    <w:r>
                      <w:rPr>
                        <w:rFonts w:hint="default" w:ascii="FreeSerif" w:hAnsi="FreeSerif" w:cs="FreeSerif"/>
                        <w:sz w:val="28"/>
                        <w:szCs w:val="28"/>
                      </w:rPr>
                      <w:t xml:space="preserve">— </w:t>
                    </w:r>
                    <w:r>
                      <w:rPr>
                        <w:rFonts w:hint="default" w:ascii="FreeSerif" w:hAnsi="FreeSerif" w:cs="FreeSerif"/>
                        <w:sz w:val="28"/>
                        <w:szCs w:val="28"/>
                      </w:rPr>
                      <w:fldChar w:fldCharType="begin"/>
                    </w:r>
                    <w:r>
                      <w:rPr>
                        <w:rFonts w:hint="default" w:ascii="FreeSerif" w:hAnsi="FreeSerif" w:cs="FreeSerif"/>
                        <w:sz w:val="28"/>
                        <w:szCs w:val="28"/>
                      </w:rPr>
                      <w:instrText xml:space="preserve"> PAGE  \* MERGEFORMAT </w:instrText>
                    </w:r>
                    <w:r>
                      <w:rPr>
                        <w:rFonts w:hint="default" w:ascii="FreeSerif" w:hAnsi="FreeSerif" w:cs="FreeSerif"/>
                        <w:sz w:val="28"/>
                        <w:szCs w:val="28"/>
                      </w:rPr>
                      <w:fldChar w:fldCharType="separate"/>
                    </w:r>
                    <w:r>
                      <w:rPr>
                        <w:rFonts w:hint="default" w:ascii="FreeSerif" w:hAnsi="FreeSerif" w:cs="FreeSerif"/>
                        <w:sz w:val="28"/>
                        <w:szCs w:val="28"/>
                      </w:rPr>
                      <w:t>2</w:t>
                    </w:r>
                    <w:r>
                      <w:rPr>
                        <w:rFonts w:hint="default" w:ascii="FreeSerif" w:hAnsi="FreeSerif" w:cs="FreeSerif"/>
                        <w:sz w:val="28"/>
                        <w:szCs w:val="28"/>
                      </w:rPr>
                      <w:fldChar w:fldCharType="end"/>
                    </w:r>
                    <w:r>
                      <w:rPr>
                        <w:rFonts w:hint="default" w:ascii="FreeSerif" w:hAnsi="FreeSerif" w:cs="FreeSerif"/>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843"/>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0" w:leftChars="0" w:firstLine="0" w:firstLineChars="0"/>
                            <w:rPr>
                              <w:rFonts w:hint="default" w:ascii="FreeSerif" w:hAnsi="FreeSerif" w:cs="FreeSerif"/>
                              <w:b w:val="0"/>
                              <w:bCs w:val="0"/>
                              <w:sz w:val="28"/>
                              <w:szCs w:val="28"/>
                            </w:rPr>
                          </w:pPr>
                          <w:r>
                            <w:rPr>
                              <w:rFonts w:hint="default" w:ascii="FreeSerif" w:hAnsi="FreeSerif" w:cs="FreeSerif"/>
                              <w:b w:val="0"/>
                              <w:bCs w:val="0"/>
                              <w:sz w:val="28"/>
                              <w:szCs w:val="28"/>
                            </w:rPr>
                            <w:t xml:space="preserve">— </w:t>
                          </w:r>
                          <w:r>
                            <w:rPr>
                              <w:rFonts w:hint="default" w:ascii="FreeSerif" w:hAnsi="FreeSerif" w:cs="FreeSerif"/>
                              <w:b w:val="0"/>
                              <w:bCs w:val="0"/>
                              <w:sz w:val="28"/>
                              <w:szCs w:val="28"/>
                            </w:rPr>
                            <w:fldChar w:fldCharType="begin"/>
                          </w:r>
                          <w:r>
                            <w:rPr>
                              <w:rFonts w:hint="default" w:ascii="FreeSerif" w:hAnsi="FreeSerif" w:cs="FreeSerif"/>
                              <w:b w:val="0"/>
                              <w:bCs w:val="0"/>
                              <w:sz w:val="28"/>
                              <w:szCs w:val="28"/>
                            </w:rPr>
                            <w:instrText xml:space="preserve"> PAGE  \* MERGEFORMAT </w:instrText>
                          </w:r>
                          <w:r>
                            <w:rPr>
                              <w:rFonts w:hint="default" w:ascii="FreeSerif" w:hAnsi="FreeSerif" w:cs="FreeSerif"/>
                              <w:b w:val="0"/>
                              <w:bCs w:val="0"/>
                              <w:sz w:val="28"/>
                              <w:szCs w:val="28"/>
                            </w:rPr>
                            <w:fldChar w:fldCharType="separate"/>
                          </w:r>
                          <w:r>
                            <w:rPr>
                              <w:rFonts w:hint="default" w:ascii="FreeSerif" w:hAnsi="FreeSerif" w:cs="FreeSerif"/>
                              <w:b w:val="0"/>
                              <w:bCs w:val="0"/>
                              <w:sz w:val="28"/>
                              <w:szCs w:val="28"/>
                            </w:rPr>
                            <w:t>1</w:t>
                          </w:r>
                          <w:r>
                            <w:rPr>
                              <w:rFonts w:hint="default" w:ascii="FreeSerif" w:hAnsi="FreeSerif" w:cs="FreeSerif"/>
                              <w:b w:val="0"/>
                              <w:bCs w:val="0"/>
                              <w:sz w:val="28"/>
                              <w:szCs w:val="28"/>
                            </w:rPr>
                            <w:fldChar w:fldCharType="end"/>
                          </w:r>
                          <w:r>
                            <w:rPr>
                              <w:rFonts w:hint="default" w:ascii="FreeSerif" w:hAnsi="FreeSerif" w:cs="FreeSerif"/>
                              <w:b w:val="0"/>
                              <w:bCs w:val="0"/>
                              <w:sz w:val="28"/>
                              <w:szCs w:val="28"/>
                            </w:rPr>
                            <w:t xml:space="preserve"> —</w:t>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rKrll3gEAAL4DAAAOAAAAAAAA&#10;AAEAIAAAAB4BAABkcnMvZTJvRG9jLnhtbFBLBQYAAAAABgAGAFkBAABuBQAAAAA=&#10;">
              <v:fill on="f" focussize="0,0"/>
              <v:stroke on="f"/>
              <v:imagedata o:title=""/>
              <o:lock v:ext="edit" aspectratio="f"/>
              <v:textbox inset="0mm,0mm,0mm,0mm" style="mso-fit-shape-to-text:t;">
                <w:txbxContent>
                  <w:p>
                    <w:pPr>
                      <w:pStyle w:val="6"/>
                      <w:ind w:left="0" w:leftChars="0" w:firstLine="0" w:firstLineChars="0"/>
                      <w:rPr>
                        <w:rFonts w:hint="default" w:ascii="FreeSerif" w:hAnsi="FreeSerif" w:cs="FreeSerif"/>
                        <w:b w:val="0"/>
                        <w:bCs w:val="0"/>
                        <w:sz w:val="28"/>
                        <w:szCs w:val="28"/>
                      </w:rPr>
                    </w:pPr>
                    <w:r>
                      <w:rPr>
                        <w:rFonts w:hint="default" w:ascii="FreeSerif" w:hAnsi="FreeSerif" w:cs="FreeSerif"/>
                        <w:b w:val="0"/>
                        <w:bCs w:val="0"/>
                        <w:sz w:val="28"/>
                        <w:szCs w:val="28"/>
                      </w:rPr>
                      <w:t xml:space="preserve">— </w:t>
                    </w:r>
                    <w:r>
                      <w:rPr>
                        <w:rFonts w:hint="default" w:ascii="FreeSerif" w:hAnsi="FreeSerif" w:cs="FreeSerif"/>
                        <w:b w:val="0"/>
                        <w:bCs w:val="0"/>
                        <w:sz w:val="28"/>
                        <w:szCs w:val="28"/>
                      </w:rPr>
                      <w:fldChar w:fldCharType="begin"/>
                    </w:r>
                    <w:r>
                      <w:rPr>
                        <w:rFonts w:hint="default" w:ascii="FreeSerif" w:hAnsi="FreeSerif" w:cs="FreeSerif"/>
                        <w:b w:val="0"/>
                        <w:bCs w:val="0"/>
                        <w:sz w:val="28"/>
                        <w:szCs w:val="28"/>
                      </w:rPr>
                      <w:instrText xml:space="preserve"> PAGE  \* MERGEFORMAT </w:instrText>
                    </w:r>
                    <w:r>
                      <w:rPr>
                        <w:rFonts w:hint="default" w:ascii="FreeSerif" w:hAnsi="FreeSerif" w:cs="FreeSerif"/>
                        <w:b w:val="0"/>
                        <w:bCs w:val="0"/>
                        <w:sz w:val="28"/>
                        <w:szCs w:val="28"/>
                      </w:rPr>
                      <w:fldChar w:fldCharType="separate"/>
                    </w:r>
                    <w:r>
                      <w:rPr>
                        <w:rFonts w:hint="default" w:ascii="FreeSerif" w:hAnsi="FreeSerif" w:cs="FreeSerif"/>
                        <w:b w:val="0"/>
                        <w:bCs w:val="0"/>
                        <w:sz w:val="28"/>
                        <w:szCs w:val="28"/>
                      </w:rPr>
                      <w:t>1</w:t>
                    </w:r>
                    <w:r>
                      <w:rPr>
                        <w:rFonts w:hint="default" w:ascii="FreeSerif" w:hAnsi="FreeSerif" w:cs="FreeSerif"/>
                        <w:b w:val="0"/>
                        <w:bCs w:val="0"/>
                        <w:sz w:val="28"/>
                        <w:szCs w:val="28"/>
                      </w:rPr>
                      <w:fldChar w:fldCharType="end"/>
                    </w:r>
                    <w:r>
                      <w:rPr>
                        <w:rFonts w:hint="default" w:ascii="FreeSerif" w:hAnsi="FreeSerif" w:cs="FreeSerif"/>
                        <w:b w:val="0"/>
                        <w:bCs w:val="0"/>
                        <w:sz w:val="28"/>
                        <w:szCs w:val="28"/>
                      </w:rPr>
                      <w:t xml:space="preserve"> —</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Dc2ZGJmZjdkNmNmNWJiZWM1MWQ1NjExMDBjOWIifQ=="/>
  </w:docVars>
  <w:rsids>
    <w:rsidRoot w:val="00000000"/>
    <w:rsid w:val="11FA3308"/>
    <w:rsid w:val="123D0D6C"/>
    <w:rsid w:val="14DE58BA"/>
    <w:rsid w:val="1BBFF92D"/>
    <w:rsid w:val="1EDDFE2D"/>
    <w:rsid w:val="253A60EB"/>
    <w:rsid w:val="2A153074"/>
    <w:rsid w:val="2DCFF332"/>
    <w:rsid w:val="37FF39D0"/>
    <w:rsid w:val="3BFA0263"/>
    <w:rsid w:val="3EAB0813"/>
    <w:rsid w:val="3FD65015"/>
    <w:rsid w:val="3FF74EF7"/>
    <w:rsid w:val="3FFFC90A"/>
    <w:rsid w:val="49FA2D73"/>
    <w:rsid w:val="4EF39EB1"/>
    <w:rsid w:val="4FDBCB86"/>
    <w:rsid w:val="4FFF05E4"/>
    <w:rsid w:val="5CBD5146"/>
    <w:rsid w:val="5D7DFA23"/>
    <w:rsid w:val="62DE3FC2"/>
    <w:rsid w:val="7B660BC0"/>
    <w:rsid w:val="7C326E2E"/>
    <w:rsid w:val="7DFF2C9D"/>
    <w:rsid w:val="7E77C48A"/>
    <w:rsid w:val="7EB704B0"/>
    <w:rsid w:val="7EDC47B4"/>
    <w:rsid w:val="7EEF9173"/>
    <w:rsid w:val="7F7EE600"/>
    <w:rsid w:val="95AF6D8B"/>
    <w:rsid w:val="9CF49C40"/>
    <w:rsid w:val="9FD799D9"/>
    <w:rsid w:val="A927B80E"/>
    <w:rsid w:val="BBB5A847"/>
    <w:rsid w:val="BFBEF151"/>
    <w:rsid w:val="BFDF4220"/>
    <w:rsid w:val="BFF70DFE"/>
    <w:rsid w:val="CFF9BF88"/>
    <w:rsid w:val="D90F5054"/>
    <w:rsid w:val="E17FE927"/>
    <w:rsid w:val="E9D55281"/>
    <w:rsid w:val="EE6F715D"/>
    <w:rsid w:val="FF7F6B98"/>
    <w:rsid w:val="FFE70AC0"/>
    <w:rsid w:val="FFEFB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620" w:lineRule="exact"/>
      <w:ind w:firstLine="900" w:firstLineChars="200"/>
      <w:outlineLvl w:val="0"/>
    </w:pPr>
    <w:rPr>
      <w:rFonts w:ascii="Times New Roman" w:hAnsi="Times New Roman" w:eastAsia="黑体"/>
      <w:b/>
      <w:bCs/>
      <w:kern w:val="44"/>
      <w:sz w:val="32"/>
      <w:szCs w:val="44"/>
    </w:rPr>
  </w:style>
  <w:style w:type="paragraph" w:styleId="4">
    <w:name w:val="heading 2"/>
    <w:basedOn w:val="1"/>
    <w:next w:val="1"/>
    <w:qFormat/>
    <w:uiPriority w:val="0"/>
    <w:pPr>
      <w:keepNext/>
      <w:keepLines/>
      <w:spacing w:line="620" w:lineRule="exact"/>
      <w:ind w:firstLine="900" w:firstLineChars="200"/>
      <w:outlineLvl w:val="1"/>
    </w:pPr>
    <w:rPr>
      <w:rFonts w:ascii="Times New Roman" w:hAnsi="Times New Roman" w:eastAsia="楷体"/>
      <w:b/>
      <w:bCs/>
      <w:kern w:val="0"/>
      <w:sz w:val="32"/>
      <w:szCs w:val="32"/>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样式 正文11 + 首行缩进:  2 字符"/>
    <w:basedOn w:val="1"/>
    <w:qFormat/>
    <w:uiPriority w:val="0"/>
    <w:pPr>
      <w:spacing w:line="500" w:lineRule="exact"/>
      <w:ind w:firstLine="560" w:firstLineChars="200"/>
    </w:pPr>
    <w:rPr>
      <w:rFonts w:ascii="宋体" w:hAnsi="宋体" w:cs="宋体"/>
      <w:color w:val="FF0000"/>
      <w:sz w:val="28"/>
      <w:szCs w:val="20"/>
    </w:rPr>
  </w:style>
  <w:style w:type="paragraph" w:styleId="5">
    <w:name w:val="Plain Text"/>
    <w:basedOn w:val="1"/>
    <w:qFormat/>
    <w:uiPriority w:val="0"/>
    <w:pPr>
      <w:spacing w:line="560" w:lineRule="exact"/>
    </w:pPr>
    <w:rPr>
      <w:rFonts w:ascii="宋体" w:hAnsi="宋体" w:eastAsia="仿宋_GB2312" w:cs="宋体"/>
      <w:sz w:val="32"/>
      <w:szCs w:val="32"/>
    </w:rPr>
  </w:style>
  <w:style w:type="paragraph" w:styleId="6">
    <w:name w:val="footer"/>
    <w:basedOn w:val="1"/>
    <w:next w:val="1"/>
    <w:qFormat/>
    <w:uiPriority w:val="0"/>
    <w:pPr>
      <w:tabs>
        <w:tab w:val="center" w:pos="4153"/>
        <w:tab w:val="right" w:pos="8306"/>
      </w:tabs>
      <w:snapToGrid w:val="0"/>
      <w:jc w:val="left"/>
    </w:pPr>
    <w:rPr>
      <w:rFonts w:ascii="Calibri" w:hAnsi="Calibri" w:eastAsia="宋体"/>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rFonts w:ascii="Calibri" w:hAnsi="Calibri" w:eastAsia="宋体"/>
      <w:sz w:val="18"/>
      <w:szCs w:val="18"/>
    </w:rPr>
  </w:style>
  <w:style w:type="paragraph" w:styleId="8">
    <w:name w:val="toc 1"/>
    <w:basedOn w:val="1"/>
    <w:next w:val="1"/>
    <w:qFormat/>
    <w:uiPriority w:val="39"/>
    <w:pPr>
      <w:ind w:firstLine="0" w:firstLineChars="0"/>
    </w:pPr>
    <w:rPr>
      <w:rFonts w:eastAsia="宋体"/>
      <w:b/>
      <w:kern w:val="0"/>
      <w:sz w:val="20"/>
      <w:szCs w:val="20"/>
    </w:rPr>
  </w:style>
  <w:style w:type="paragraph" w:styleId="9">
    <w:name w:val="toc 2"/>
    <w:basedOn w:val="1"/>
    <w:next w:val="1"/>
    <w:qFormat/>
    <w:uiPriority w:val="39"/>
    <w:pPr>
      <w:ind w:left="541" w:leftChars="100" w:hanging="301" w:hangingChars="100"/>
    </w:pPr>
    <w:rPr>
      <w:rFonts w:eastAsia="宋体"/>
      <w:b/>
      <w:kern w:val="0"/>
      <w:sz w:val="20"/>
      <w:szCs w:val="20"/>
    </w:rPr>
  </w:style>
  <w:style w:type="paragraph" w:styleId="10">
    <w:name w:val="Normal (Web)"/>
    <w:basedOn w:val="1"/>
    <w:qFormat/>
    <w:uiPriority w:val="99"/>
    <w:pPr>
      <w:widowControl/>
      <w:spacing w:before="100" w:beforeAutospacing="1" w:after="100" w:afterAutospacing="1"/>
      <w:jc w:val="left"/>
    </w:pPr>
    <w:rPr>
      <w:rFonts w:ascii="宋体" w:hAnsi="宋体" w:eastAsia="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16191</Words>
  <Characters>16479</Characters>
  <Lines>1</Lines>
  <Paragraphs>1</Paragraphs>
  <TotalTime>8</TotalTime>
  <ScaleCrop>false</ScaleCrop>
  <LinksUpToDate>false</LinksUpToDate>
  <CharactersWithSpaces>16601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victory</cp:lastModifiedBy>
  <cp:lastPrinted>2023-04-28T16:03:00Z</cp:lastPrinted>
  <dcterms:modified xsi:type="dcterms:W3CDTF">2023-11-08T01:12:40Z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7E8A82DDFCB84AA4A4E75C0A68EC6BD5_13</vt:lpwstr>
  </property>
</Properties>
</file>