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50" w:lineRule="exact"/>
        <w:ind w:left="0" w:leftChars="0" w:firstLine="0" w:firstLineChars="0"/>
        <w:jc w:val="center"/>
        <w:textAlignment w:val="auto"/>
        <w:rPr>
          <w:rFonts w:hint="default" w:ascii="FreeSerif" w:hAnsi="FreeSerif" w:eastAsia="方正小标宋_GBK" w:cs="FreeSerif"/>
          <w:sz w:val="44"/>
          <w:szCs w:val="44"/>
        </w:rPr>
      </w:pP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0" w:firstLineChars="0"/>
        <w:jc w:val="both"/>
        <w:rPr>
          <w:rFonts w:hint="default" w:ascii="FreeSerif" w:hAnsi="FreeSerif" w:eastAsia="方正小标宋_GBK" w:cs="FreeSerif"/>
          <w:snapToGrid/>
          <w:spacing w:val="0"/>
          <w:kern w:val="2"/>
          <w:sz w:val="44"/>
          <w:szCs w:val="44"/>
          <w:lang w:val="en-US" w:eastAsia="zh-CN" w:bidi="ar"/>
        </w:rPr>
      </w:pP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0" w:firstLineChars="0"/>
        <w:jc w:val="center"/>
        <w:rPr>
          <w:rFonts w:hint="default" w:ascii="FreeSerif" w:hAnsi="FreeSerif" w:eastAsia="方正小标宋_GBK" w:cs="FreeSerif"/>
          <w:snapToGrid/>
          <w:spacing w:val="0"/>
          <w:kern w:val="2"/>
          <w:sz w:val="44"/>
          <w:szCs w:val="44"/>
          <w:lang w:val="en-US" w:eastAsia="zh-CN" w:bidi="ar"/>
        </w:rPr>
      </w:pP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0" w:firstLineChars="0"/>
        <w:jc w:val="center"/>
        <w:rPr>
          <w:rFonts w:hint="default" w:ascii="FreeSerif" w:hAnsi="FreeSerif" w:eastAsia="方正小标宋_GBK" w:cs="FreeSerif"/>
          <w:snapToGrid/>
          <w:spacing w:val="0"/>
          <w:kern w:val="2"/>
          <w:sz w:val="44"/>
          <w:szCs w:val="44"/>
          <w:lang w:val="en-US" w:eastAsia="zh-CN" w:bidi="ar"/>
        </w:rPr>
      </w:pP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0" w:firstLineChars="0"/>
        <w:jc w:val="center"/>
        <w:rPr>
          <w:rFonts w:hint="default" w:ascii="FreeSerif" w:hAnsi="FreeSerif" w:eastAsia="方正小标宋_GBK" w:cs="FreeSerif"/>
          <w:snapToGrid/>
          <w:spacing w:val="0"/>
          <w:kern w:val="2"/>
          <w:sz w:val="44"/>
          <w:szCs w:val="44"/>
          <w:lang w:val="en-US" w:eastAsia="zh-CN" w:bidi="ar"/>
        </w:rPr>
      </w:pP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0" w:firstLineChars="0"/>
        <w:jc w:val="center"/>
        <w:rPr>
          <w:rFonts w:hint="default" w:ascii="FreeSerif" w:hAnsi="FreeSerif" w:eastAsia="方正小标宋_GBK" w:cs="FreeSerif"/>
          <w:spacing w:val="0"/>
          <w:kern w:val="2"/>
          <w:sz w:val="44"/>
          <w:szCs w:val="44"/>
        </w:rPr>
      </w:pPr>
      <w:r>
        <w:rPr>
          <w:rFonts w:hint="default" w:ascii="FreeSerif" w:hAnsi="FreeSerif" w:eastAsia="方正小标宋_GBK" w:cs="FreeSerif"/>
          <w:snapToGrid/>
          <w:spacing w:val="0"/>
          <w:kern w:val="2"/>
          <w:sz w:val="44"/>
          <w:szCs w:val="44"/>
          <w:lang w:val="en-US" w:eastAsia="zh-CN" w:bidi="ar"/>
        </w:rPr>
        <w:t>白城</w:t>
      </w:r>
      <w:r>
        <w:rPr>
          <w:rFonts w:hint="eastAsia" w:ascii="方正小标宋_GBK" w:hAnsi="方正小标宋_GBK" w:eastAsia="方正小标宋_GBK" w:cs="方正小标宋_GBK"/>
          <w:snapToGrid/>
          <w:spacing w:val="0"/>
          <w:kern w:val="2"/>
          <w:sz w:val="44"/>
          <w:szCs w:val="44"/>
          <w:lang w:val="en-US" w:eastAsia="zh-CN" w:bidi="ar"/>
        </w:rPr>
        <w:t>市“十四五”</w:t>
      </w:r>
      <w:r>
        <w:rPr>
          <w:rFonts w:hint="default" w:ascii="FreeSerif" w:hAnsi="FreeSerif" w:eastAsia="方正小标宋_GBK" w:cs="FreeSerif"/>
          <w:snapToGrid/>
          <w:spacing w:val="0"/>
          <w:kern w:val="2"/>
          <w:sz w:val="44"/>
          <w:szCs w:val="44"/>
          <w:lang w:val="en-US" w:eastAsia="zh-CN" w:bidi="ar"/>
        </w:rPr>
        <w:t>土壤、地下水和农村</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0" w:firstLineChars="0"/>
        <w:jc w:val="center"/>
        <w:rPr>
          <w:rFonts w:hint="default" w:ascii="FreeSerif" w:hAnsi="FreeSerif" w:eastAsia="方正小标宋_GBK" w:cs="FreeSerif"/>
          <w:spacing w:val="0"/>
          <w:kern w:val="2"/>
          <w:sz w:val="44"/>
          <w:szCs w:val="44"/>
        </w:rPr>
      </w:pPr>
      <w:r>
        <w:rPr>
          <w:rFonts w:hint="default" w:ascii="FreeSerif" w:hAnsi="FreeSerif" w:eastAsia="方正小标宋_GBK" w:cs="FreeSerif"/>
          <w:snapToGrid/>
          <w:spacing w:val="0"/>
          <w:kern w:val="2"/>
          <w:sz w:val="44"/>
          <w:szCs w:val="44"/>
          <w:lang w:val="en-US" w:eastAsia="zh-CN" w:bidi="ar"/>
        </w:rPr>
        <w:t>生态环境保护规划</w:t>
      </w:r>
    </w:p>
    <w:p>
      <w:pPr>
        <w:rPr>
          <w:rFonts w:hint="default" w:ascii="FreeSerif" w:hAnsi="FreeSerif" w:cs="FreeSerif"/>
        </w:rPr>
      </w:pPr>
    </w:p>
    <w:p>
      <w:pPr>
        <w:pStyle w:val="3"/>
        <w:rPr>
          <w:rFonts w:hint="default" w:ascii="FreeSerif" w:hAnsi="FreeSerif" w:cs="FreeSerif"/>
        </w:rPr>
      </w:pPr>
    </w:p>
    <w:p>
      <w:pPr>
        <w:rPr>
          <w:rFonts w:hint="default" w:ascii="FreeSerif" w:hAnsi="FreeSerif" w:cs="FreeSerif"/>
        </w:rPr>
      </w:pPr>
    </w:p>
    <w:p>
      <w:pPr>
        <w:pStyle w:val="3"/>
        <w:rPr>
          <w:rFonts w:hint="default" w:ascii="FreeSerif" w:hAnsi="FreeSerif" w:cs="FreeSerif"/>
        </w:rPr>
      </w:pPr>
    </w:p>
    <w:p>
      <w:pPr>
        <w:rPr>
          <w:rFonts w:hint="default" w:ascii="FreeSerif" w:hAnsi="FreeSerif" w:cs="FreeSerif"/>
        </w:rPr>
      </w:pPr>
    </w:p>
    <w:p>
      <w:pPr>
        <w:pStyle w:val="3"/>
        <w:rPr>
          <w:rFonts w:hint="default" w:ascii="FreeSerif" w:hAnsi="FreeSerif" w:cs="FreeSerif"/>
        </w:rPr>
      </w:pPr>
    </w:p>
    <w:p>
      <w:pPr>
        <w:rPr>
          <w:rFonts w:hint="default" w:ascii="FreeSerif" w:hAnsi="FreeSerif" w:cs="FreeSerif"/>
        </w:rPr>
      </w:pPr>
    </w:p>
    <w:p>
      <w:pPr>
        <w:pStyle w:val="3"/>
        <w:rPr>
          <w:rFonts w:hint="default" w:ascii="FreeSerif" w:hAnsi="FreeSerif" w:cs="FreeSerif"/>
        </w:rPr>
      </w:pPr>
    </w:p>
    <w:p>
      <w:pPr>
        <w:rPr>
          <w:rFonts w:hint="default" w:ascii="FreeSerif" w:hAnsi="FreeSerif" w:cs="FreeSerif"/>
        </w:rPr>
      </w:pPr>
    </w:p>
    <w:p>
      <w:pPr>
        <w:pStyle w:val="3"/>
        <w:rPr>
          <w:rFonts w:hint="default" w:ascii="FreeSerif" w:hAnsi="FreeSerif" w:cs="FreeSerif"/>
        </w:rPr>
      </w:pPr>
    </w:p>
    <w:p>
      <w:pPr>
        <w:rPr>
          <w:rFonts w:hint="default" w:ascii="FreeSerif" w:hAnsi="FreeSerif" w:cs="FreeSerif"/>
        </w:rPr>
      </w:pPr>
    </w:p>
    <w:p>
      <w:pPr>
        <w:pStyle w:val="3"/>
        <w:rPr>
          <w:rFonts w:hint="default" w:ascii="FreeSerif" w:hAnsi="FreeSerif" w:cs="FreeSerif"/>
        </w:rPr>
      </w:pPr>
    </w:p>
    <w:p>
      <w:pPr>
        <w:rPr>
          <w:rFonts w:hint="default" w:ascii="FreeSerif" w:hAnsi="FreeSerif" w:cs="FreeSerif"/>
        </w:rPr>
      </w:pPr>
    </w:p>
    <w:p>
      <w:pPr>
        <w:pStyle w:val="3"/>
        <w:rPr>
          <w:rFonts w:hint="default" w:ascii="FreeSerif" w:hAnsi="FreeSerif" w:cs="FreeSerif"/>
        </w:rPr>
      </w:pPr>
    </w:p>
    <w:p>
      <w:pPr>
        <w:rPr>
          <w:rFonts w:hint="default" w:ascii="FreeSerif" w:hAnsi="FreeSerif" w:cs="FreeSerif"/>
        </w:rPr>
      </w:pPr>
    </w:p>
    <w:p>
      <w:pPr>
        <w:pStyle w:val="3"/>
        <w:rPr>
          <w:rFonts w:hint="default" w:ascii="FreeSerif" w:hAnsi="FreeSerif" w:cs="FreeSerif"/>
        </w:rPr>
      </w:pPr>
    </w:p>
    <w:p>
      <w:pPr>
        <w:pageBreakBefore w:val="0"/>
        <w:kinsoku/>
        <w:topLinePunct w:val="0"/>
        <w:autoSpaceDE/>
        <w:autoSpaceDN/>
        <w:bidi w:val="0"/>
        <w:spacing w:line="578" w:lineRule="exact"/>
        <w:ind w:left="0" w:leftChars="0" w:firstLine="0" w:firstLineChars="0"/>
        <w:jc w:val="center"/>
        <w:textAlignment w:val="auto"/>
        <w:outlineLvl w:val="9"/>
        <w:rPr>
          <w:rFonts w:hint="default" w:ascii="FreeSerif" w:hAnsi="FreeSerif" w:eastAsia="方正小标宋_GBK" w:cs="FreeSerif"/>
          <w:b w:val="0"/>
          <w:bCs w:val="0"/>
          <w:color w:val="auto"/>
          <w:sz w:val="36"/>
          <w:szCs w:val="36"/>
          <w:lang w:val="en-US" w:eastAsia="zh-CN"/>
        </w:rPr>
      </w:pPr>
      <w:r>
        <w:rPr>
          <w:rFonts w:hint="default" w:ascii="FreeSerif" w:hAnsi="FreeSerif" w:eastAsia="方正小标宋_GBK" w:cs="FreeSerif"/>
          <w:b w:val="0"/>
          <w:bCs w:val="0"/>
          <w:color w:val="auto"/>
          <w:sz w:val="36"/>
          <w:szCs w:val="36"/>
          <w:lang w:val="en-US" w:eastAsia="zh-CN"/>
        </w:rPr>
        <w:t>2023.04</w:t>
      </w:r>
    </w:p>
    <w:p>
      <w:pPr>
        <w:rPr>
          <w:rFonts w:hint="default" w:ascii="FreeSerif" w:hAnsi="FreeSerif" w:cs="FreeSerif"/>
        </w:rPr>
        <w:sectPr>
          <w:headerReference r:id="rId4" w:type="first"/>
          <w:footerReference r:id="rId6" w:type="first"/>
          <w:headerReference r:id="rId3" w:type="default"/>
          <w:footerReference r:id="rId5" w:type="default"/>
          <w:pgSz w:w="11900" w:h="16821"/>
          <w:pgMar w:top="2041" w:right="1531" w:bottom="2041" w:left="1531" w:header="850" w:footer="1672" w:gutter="0"/>
          <w:pgNumType w:fmt="decimal" w:start="1"/>
          <w:cols w:space="720" w:num="1"/>
          <w:titlePg/>
          <w:rtlGutter w:val="0"/>
          <w:docGrid w:linePitch="332" w:charSpace="0"/>
        </w:sectPr>
      </w:pPr>
    </w:p>
    <w:p>
      <w:pPr>
        <w:keepNext w:val="0"/>
        <w:keepLines w:val="0"/>
        <w:pageBreakBefore w:val="0"/>
        <w:widowControl w:val="0"/>
        <w:kinsoku/>
        <w:wordWrap/>
        <w:overflowPunct w:val="0"/>
        <w:topLinePunct w:val="0"/>
        <w:autoSpaceDE/>
        <w:autoSpaceDN/>
        <w:bidi w:val="0"/>
        <w:adjustRightInd w:val="0"/>
        <w:snapToGrid w:val="0"/>
        <w:spacing w:line="500" w:lineRule="exact"/>
        <w:jc w:val="center"/>
        <w:textAlignment w:val="auto"/>
        <w:outlineLvl w:val="9"/>
        <w:rPr>
          <w:rFonts w:hint="default" w:ascii="FreeSerif" w:hAnsi="FreeSerif" w:eastAsia="方正小标宋_GBK" w:cs="FreeSerif"/>
          <w:b w:val="0"/>
          <w:bCs w:val="0"/>
          <w:color w:val="auto"/>
          <w:sz w:val="44"/>
          <w:szCs w:val="44"/>
        </w:rPr>
      </w:pPr>
      <w:r>
        <w:rPr>
          <w:rFonts w:hint="default" w:ascii="FreeSerif" w:hAnsi="FreeSerif" w:eastAsia="方正小标宋_GBK" w:cs="FreeSerif"/>
          <w:b w:val="0"/>
          <w:bCs w:val="0"/>
          <w:color w:val="auto"/>
          <w:sz w:val="44"/>
          <w:szCs w:val="44"/>
          <w:lang w:val="zh-CN"/>
        </w:rPr>
        <w:t>目</w:t>
      </w:r>
      <w:r>
        <w:rPr>
          <w:rFonts w:hint="default" w:ascii="FreeSerif" w:hAnsi="FreeSerif" w:eastAsia="方正小标宋_GBK" w:cs="FreeSerif"/>
          <w:b w:val="0"/>
          <w:bCs w:val="0"/>
          <w:color w:val="auto"/>
          <w:sz w:val="44"/>
          <w:szCs w:val="44"/>
        </w:rPr>
        <w:t xml:space="preserve">  </w:t>
      </w:r>
      <w:r>
        <w:rPr>
          <w:rFonts w:hint="default" w:ascii="FreeSerif" w:hAnsi="FreeSerif" w:eastAsia="方正小标宋_GBK" w:cs="FreeSerif"/>
          <w:b w:val="0"/>
          <w:bCs w:val="0"/>
          <w:color w:val="auto"/>
          <w:sz w:val="44"/>
          <w:szCs w:val="44"/>
          <w:lang w:val="zh-CN"/>
        </w:rPr>
        <w:t>录</w:t>
      </w:r>
    </w:p>
    <w:p>
      <w:pPr>
        <w:pStyle w:val="8"/>
        <w:keepNext w:val="0"/>
        <w:keepLines w:val="0"/>
        <w:pageBreakBefore w:val="0"/>
        <w:widowControl w:val="0"/>
        <w:tabs>
          <w:tab w:val="right" w:leader="dot" w:pos="8838"/>
        </w:tabs>
        <w:kinsoku/>
        <w:wordWrap/>
        <w:overflowPunct w:val="0"/>
        <w:topLinePunct w:val="0"/>
        <w:autoSpaceDE/>
        <w:autoSpaceDN/>
        <w:bidi w:val="0"/>
        <w:adjustRightInd/>
        <w:snapToGrid/>
        <w:spacing w:line="500" w:lineRule="exact"/>
        <w:textAlignment w:val="auto"/>
        <w:rPr>
          <w:rFonts w:hint="default" w:ascii="FreeSerif" w:hAnsi="FreeSerif" w:eastAsia="方正仿宋_GBK" w:cs="FreeSerif"/>
          <w:b w:val="0"/>
          <w:bCs w:val="0"/>
          <w:color w:val="auto"/>
          <w:sz w:val="32"/>
          <w:szCs w:val="32"/>
        </w:rPr>
      </w:pPr>
    </w:p>
    <w:p>
      <w:pPr>
        <w:pStyle w:val="8"/>
        <w:keepNext w:val="0"/>
        <w:keepLines w:val="0"/>
        <w:pageBreakBefore w:val="0"/>
        <w:widowControl w:val="0"/>
        <w:tabs>
          <w:tab w:val="right" w:leader="dot" w:pos="8838"/>
        </w:tabs>
        <w:kinsoku/>
        <w:wordWrap/>
        <w:overflowPunct w:val="0"/>
        <w:topLinePunct w:val="0"/>
        <w:autoSpaceDE/>
        <w:autoSpaceDN/>
        <w:bidi w:val="0"/>
        <w:adjustRightInd/>
        <w:snapToGrid/>
        <w:spacing w:line="500" w:lineRule="exact"/>
        <w:textAlignment w:val="auto"/>
        <w:rPr>
          <w:rFonts w:hint="default" w:ascii="FreeSerif" w:hAnsi="FreeSerif" w:cs="FreeSerif"/>
          <w:b w:val="0"/>
          <w:bCs w:val="0"/>
          <w:sz w:val="28"/>
          <w:szCs w:val="28"/>
        </w:rPr>
      </w:pPr>
      <w:r>
        <w:rPr>
          <w:rFonts w:hint="default" w:ascii="FreeSerif" w:hAnsi="FreeSerif" w:eastAsia="方正仿宋_GBK" w:cs="FreeSerif"/>
          <w:b w:val="0"/>
          <w:bCs w:val="0"/>
          <w:color w:val="auto"/>
          <w:sz w:val="32"/>
          <w:szCs w:val="32"/>
        </w:rPr>
        <w:fldChar w:fldCharType="begin"/>
      </w:r>
      <w:r>
        <w:rPr>
          <w:rFonts w:hint="default" w:ascii="FreeSerif" w:hAnsi="FreeSerif" w:eastAsia="方正仿宋_GBK" w:cs="FreeSerif"/>
          <w:b w:val="0"/>
          <w:bCs w:val="0"/>
          <w:color w:val="auto"/>
          <w:sz w:val="32"/>
          <w:szCs w:val="32"/>
        </w:rPr>
        <w:instrText xml:space="preserve">TOC\o"1-3"\h\u</w:instrText>
      </w:r>
      <w:r>
        <w:rPr>
          <w:rFonts w:hint="default" w:ascii="FreeSerif" w:hAnsi="FreeSerif" w:eastAsia="方正仿宋_GBK" w:cs="FreeSerif"/>
          <w:b w:val="0"/>
          <w:bCs w:val="0"/>
          <w:color w:val="auto"/>
          <w:sz w:val="32"/>
          <w:szCs w:val="32"/>
        </w:rPr>
        <w:fldChar w:fldCharType="separate"/>
      </w:r>
      <w:r>
        <w:rPr>
          <w:rFonts w:hint="default" w:ascii="FreeSerif" w:hAnsi="FreeSerif" w:eastAsia="方正仿宋_GBK" w:cs="FreeSerif"/>
          <w:b w:val="0"/>
          <w:bCs w:val="0"/>
          <w:color w:val="auto"/>
          <w:sz w:val="28"/>
          <w:szCs w:val="28"/>
        </w:rPr>
        <w:fldChar w:fldCharType="begin"/>
      </w:r>
      <w:r>
        <w:rPr>
          <w:rFonts w:hint="default" w:ascii="FreeSerif" w:hAnsi="FreeSerif" w:eastAsia="方正仿宋_GBK" w:cs="FreeSerif"/>
          <w:b w:val="0"/>
          <w:bCs w:val="0"/>
          <w:sz w:val="28"/>
          <w:szCs w:val="28"/>
        </w:rPr>
        <w:instrText xml:space="preserve"> HYPERLINK \l _Toc297109207 </w:instrText>
      </w:r>
      <w:r>
        <w:rPr>
          <w:rFonts w:hint="default" w:ascii="FreeSerif" w:hAnsi="FreeSerif" w:eastAsia="方正仿宋_GBK" w:cs="FreeSerif"/>
          <w:b w:val="0"/>
          <w:bCs w:val="0"/>
          <w:sz w:val="28"/>
          <w:szCs w:val="28"/>
        </w:rPr>
        <w:fldChar w:fldCharType="separate"/>
      </w:r>
      <w:r>
        <w:rPr>
          <w:rFonts w:hint="default" w:ascii="FreeSerif" w:hAnsi="FreeSerif" w:eastAsia="方正黑体_GBK" w:cs="FreeSerif"/>
          <w:b w:val="0"/>
          <w:bCs w:val="0"/>
          <w:kern w:val="44"/>
          <w:sz w:val="28"/>
          <w:szCs w:val="28"/>
        </w:rPr>
        <w:t>前</w:t>
      </w:r>
      <w:r>
        <w:rPr>
          <w:rFonts w:hint="default" w:ascii="FreeSerif" w:hAnsi="FreeSerif" w:eastAsia="方正黑体_GBK" w:cs="FreeSerif"/>
          <w:b w:val="0"/>
          <w:bCs w:val="0"/>
          <w:kern w:val="44"/>
          <w:sz w:val="28"/>
          <w:szCs w:val="28"/>
          <w:lang w:val="en-US" w:eastAsia="zh-CN"/>
        </w:rPr>
        <w:t xml:space="preserve"> </w:t>
      </w:r>
      <w:r>
        <w:rPr>
          <w:rFonts w:hint="default" w:ascii="FreeSerif" w:hAnsi="FreeSerif" w:eastAsia="方正黑体_GBK" w:cs="FreeSerif"/>
          <w:b w:val="0"/>
          <w:bCs w:val="0"/>
          <w:kern w:val="44"/>
          <w:sz w:val="28"/>
          <w:szCs w:val="28"/>
        </w:rPr>
        <w:t>言</w:t>
      </w:r>
      <w:r>
        <w:rPr>
          <w:rFonts w:hint="default" w:ascii="FreeSerif" w:hAnsi="FreeSerif" w:cs="FreeSerif"/>
          <w:b w:val="0"/>
          <w:bCs w:val="0"/>
          <w:sz w:val="28"/>
          <w:szCs w:val="28"/>
        </w:rPr>
        <w:tab/>
      </w:r>
      <w:r>
        <w:rPr>
          <w:rFonts w:hint="default" w:ascii="FreeSerif" w:hAnsi="FreeSerif" w:cs="FreeSerif"/>
          <w:b w:val="0"/>
          <w:bCs w:val="0"/>
          <w:sz w:val="28"/>
          <w:szCs w:val="28"/>
        </w:rPr>
        <w:fldChar w:fldCharType="begin"/>
      </w:r>
      <w:r>
        <w:rPr>
          <w:rFonts w:hint="default" w:ascii="FreeSerif" w:hAnsi="FreeSerif" w:cs="FreeSerif"/>
          <w:b w:val="0"/>
          <w:bCs w:val="0"/>
          <w:sz w:val="28"/>
          <w:szCs w:val="28"/>
        </w:rPr>
        <w:instrText xml:space="preserve"> PAGEREF _Toc297109207 </w:instrText>
      </w:r>
      <w:r>
        <w:rPr>
          <w:rFonts w:hint="default" w:ascii="FreeSerif" w:hAnsi="FreeSerif" w:cs="FreeSerif"/>
          <w:b w:val="0"/>
          <w:bCs w:val="0"/>
          <w:sz w:val="28"/>
          <w:szCs w:val="28"/>
        </w:rPr>
        <w:fldChar w:fldCharType="separate"/>
      </w:r>
      <w:r>
        <w:rPr>
          <w:rFonts w:hint="default" w:ascii="FreeSerif" w:hAnsi="FreeSerif" w:cs="FreeSerif"/>
          <w:b w:val="0"/>
          <w:bCs w:val="0"/>
          <w:sz w:val="28"/>
          <w:szCs w:val="28"/>
        </w:rPr>
        <w:t>2</w:t>
      </w:r>
      <w:r>
        <w:rPr>
          <w:rFonts w:hint="default" w:ascii="FreeSerif" w:hAnsi="FreeSerif" w:cs="FreeSerif"/>
          <w:b w:val="0"/>
          <w:bCs w:val="0"/>
          <w:sz w:val="28"/>
          <w:szCs w:val="28"/>
        </w:rPr>
        <w:fldChar w:fldCharType="end"/>
      </w:r>
      <w:r>
        <w:rPr>
          <w:rFonts w:hint="default" w:ascii="FreeSerif" w:hAnsi="FreeSerif" w:eastAsia="方正仿宋_GBK" w:cs="FreeSerif"/>
          <w:b w:val="0"/>
          <w:bCs w:val="0"/>
          <w:color w:val="auto"/>
          <w:sz w:val="28"/>
          <w:szCs w:val="28"/>
        </w:rPr>
        <w:fldChar w:fldCharType="end"/>
      </w:r>
    </w:p>
    <w:p>
      <w:pPr>
        <w:pStyle w:val="8"/>
        <w:keepNext w:val="0"/>
        <w:keepLines w:val="0"/>
        <w:pageBreakBefore w:val="0"/>
        <w:widowControl w:val="0"/>
        <w:tabs>
          <w:tab w:val="right" w:leader="dot" w:pos="8838"/>
        </w:tabs>
        <w:kinsoku/>
        <w:wordWrap/>
        <w:overflowPunct w:val="0"/>
        <w:topLinePunct w:val="0"/>
        <w:autoSpaceDE/>
        <w:autoSpaceDN/>
        <w:bidi w:val="0"/>
        <w:adjustRightInd/>
        <w:snapToGrid/>
        <w:spacing w:line="500" w:lineRule="exact"/>
        <w:textAlignment w:val="auto"/>
        <w:rPr>
          <w:rFonts w:hint="default" w:ascii="FreeSerif" w:hAnsi="FreeSerif" w:cs="FreeSerif"/>
          <w:b w:val="0"/>
          <w:bCs w:val="0"/>
          <w:sz w:val="28"/>
          <w:szCs w:val="28"/>
        </w:rPr>
      </w:pPr>
      <w:r>
        <w:rPr>
          <w:rFonts w:hint="default" w:ascii="FreeSerif" w:hAnsi="FreeSerif" w:eastAsia="方正仿宋_GBK" w:cs="FreeSerif"/>
          <w:b w:val="0"/>
          <w:bCs w:val="0"/>
          <w:color w:val="auto"/>
          <w:sz w:val="28"/>
          <w:szCs w:val="28"/>
        </w:rPr>
        <w:fldChar w:fldCharType="begin"/>
      </w:r>
      <w:r>
        <w:rPr>
          <w:rFonts w:hint="default" w:ascii="FreeSerif" w:hAnsi="FreeSerif" w:eastAsia="方正仿宋_GBK" w:cs="FreeSerif"/>
          <w:b w:val="0"/>
          <w:bCs w:val="0"/>
          <w:sz w:val="28"/>
          <w:szCs w:val="28"/>
        </w:rPr>
        <w:instrText xml:space="preserve"> HYPERLINK \l _Toc2127126175 </w:instrText>
      </w:r>
      <w:r>
        <w:rPr>
          <w:rFonts w:hint="default" w:ascii="FreeSerif" w:hAnsi="FreeSerif" w:eastAsia="方正仿宋_GBK" w:cs="FreeSerif"/>
          <w:b w:val="0"/>
          <w:bCs w:val="0"/>
          <w:sz w:val="28"/>
          <w:szCs w:val="28"/>
        </w:rPr>
        <w:fldChar w:fldCharType="separate"/>
      </w:r>
      <w:r>
        <w:rPr>
          <w:rFonts w:hint="default" w:ascii="FreeSerif" w:hAnsi="FreeSerif" w:eastAsia="方正黑体_GBK" w:cs="FreeSerif"/>
          <w:b w:val="0"/>
          <w:bCs w:val="0"/>
          <w:kern w:val="44"/>
          <w:sz w:val="28"/>
          <w:szCs w:val="28"/>
        </w:rPr>
        <w:t>一、进展与形势</w:t>
      </w:r>
      <w:r>
        <w:rPr>
          <w:rFonts w:hint="default" w:ascii="FreeSerif" w:hAnsi="FreeSerif" w:cs="FreeSerif"/>
          <w:b w:val="0"/>
          <w:bCs w:val="0"/>
          <w:sz w:val="28"/>
          <w:szCs w:val="28"/>
        </w:rPr>
        <w:tab/>
      </w:r>
      <w:r>
        <w:rPr>
          <w:rFonts w:hint="default" w:ascii="FreeSerif" w:hAnsi="FreeSerif" w:cs="FreeSerif"/>
          <w:b w:val="0"/>
          <w:bCs w:val="0"/>
          <w:sz w:val="28"/>
          <w:szCs w:val="28"/>
        </w:rPr>
        <w:fldChar w:fldCharType="begin"/>
      </w:r>
      <w:r>
        <w:rPr>
          <w:rFonts w:hint="default" w:ascii="FreeSerif" w:hAnsi="FreeSerif" w:cs="FreeSerif"/>
          <w:b w:val="0"/>
          <w:bCs w:val="0"/>
          <w:sz w:val="28"/>
          <w:szCs w:val="28"/>
        </w:rPr>
        <w:instrText xml:space="preserve"> PAGEREF _Toc2127126175 </w:instrText>
      </w:r>
      <w:r>
        <w:rPr>
          <w:rFonts w:hint="default" w:ascii="FreeSerif" w:hAnsi="FreeSerif" w:cs="FreeSerif"/>
          <w:b w:val="0"/>
          <w:bCs w:val="0"/>
          <w:sz w:val="28"/>
          <w:szCs w:val="28"/>
        </w:rPr>
        <w:fldChar w:fldCharType="separate"/>
      </w:r>
      <w:r>
        <w:rPr>
          <w:rFonts w:hint="default" w:ascii="FreeSerif" w:hAnsi="FreeSerif" w:cs="FreeSerif"/>
          <w:b w:val="0"/>
          <w:bCs w:val="0"/>
          <w:sz w:val="28"/>
          <w:szCs w:val="28"/>
        </w:rPr>
        <w:t>2</w:t>
      </w:r>
      <w:r>
        <w:rPr>
          <w:rFonts w:hint="default" w:ascii="FreeSerif" w:hAnsi="FreeSerif" w:cs="FreeSerif"/>
          <w:b w:val="0"/>
          <w:bCs w:val="0"/>
          <w:sz w:val="28"/>
          <w:szCs w:val="28"/>
        </w:rPr>
        <w:fldChar w:fldCharType="end"/>
      </w:r>
      <w:r>
        <w:rPr>
          <w:rFonts w:hint="default" w:ascii="FreeSerif" w:hAnsi="FreeSerif" w:eastAsia="方正仿宋_GBK" w:cs="FreeSerif"/>
          <w:b w:val="0"/>
          <w:bCs w:val="0"/>
          <w:color w:val="auto"/>
          <w:sz w:val="28"/>
          <w:szCs w:val="28"/>
        </w:rPr>
        <w:fldChar w:fldCharType="end"/>
      </w:r>
    </w:p>
    <w:p>
      <w:pPr>
        <w:pStyle w:val="9"/>
        <w:keepNext w:val="0"/>
        <w:keepLines w:val="0"/>
        <w:pageBreakBefore w:val="0"/>
        <w:widowControl w:val="0"/>
        <w:tabs>
          <w:tab w:val="right" w:leader="dot" w:pos="8838"/>
        </w:tabs>
        <w:kinsoku/>
        <w:wordWrap/>
        <w:overflowPunct w:val="0"/>
        <w:topLinePunct w:val="0"/>
        <w:autoSpaceDE/>
        <w:autoSpaceDN/>
        <w:bidi w:val="0"/>
        <w:adjustRightInd/>
        <w:snapToGrid/>
        <w:spacing w:line="500" w:lineRule="exact"/>
        <w:ind w:left="0" w:leftChars="0" w:firstLine="420" w:firstLineChars="150"/>
        <w:textAlignment w:val="auto"/>
        <w:rPr>
          <w:rFonts w:hint="default" w:ascii="FreeSerif" w:hAnsi="FreeSerif" w:eastAsia="方正楷体_GBK" w:cs="FreeSerif"/>
          <w:b w:val="0"/>
          <w:bCs w:val="0"/>
          <w:sz w:val="28"/>
          <w:szCs w:val="28"/>
        </w:rPr>
      </w:pPr>
      <w:r>
        <w:rPr>
          <w:rFonts w:hint="default" w:ascii="FreeSerif" w:hAnsi="FreeSerif" w:eastAsia="方正楷体_GBK" w:cs="FreeSerif"/>
          <w:b w:val="0"/>
          <w:bCs w:val="0"/>
          <w:color w:val="auto"/>
          <w:sz w:val="28"/>
          <w:szCs w:val="28"/>
        </w:rPr>
        <w:fldChar w:fldCharType="begin"/>
      </w:r>
      <w:r>
        <w:rPr>
          <w:rFonts w:hint="default" w:ascii="FreeSerif" w:hAnsi="FreeSerif" w:eastAsia="方正楷体_GBK" w:cs="FreeSerif"/>
          <w:b w:val="0"/>
          <w:bCs w:val="0"/>
          <w:sz w:val="28"/>
          <w:szCs w:val="28"/>
        </w:rPr>
        <w:instrText xml:space="preserve"> HYPERLINK \l _Toc1811061296 </w:instrText>
      </w:r>
      <w:r>
        <w:rPr>
          <w:rFonts w:hint="default" w:ascii="FreeSerif" w:hAnsi="FreeSerif" w:eastAsia="方正楷体_GBK" w:cs="FreeSerif"/>
          <w:b w:val="0"/>
          <w:bCs w:val="0"/>
          <w:sz w:val="28"/>
          <w:szCs w:val="28"/>
        </w:rPr>
        <w:fldChar w:fldCharType="separate"/>
      </w:r>
      <w:r>
        <w:rPr>
          <w:rFonts w:hint="default" w:ascii="FreeSerif" w:hAnsi="FreeSerif" w:eastAsia="方正楷体_GBK" w:cs="FreeSerif"/>
          <w:b w:val="0"/>
          <w:bCs w:val="0"/>
          <w:kern w:val="0"/>
          <w:sz w:val="28"/>
          <w:szCs w:val="28"/>
        </w:rPr>
        <w:t>（一）工作进展</w:t>
      </w:r>
      <w:r>
        <w:rPr>
          <w:rFonts w:hint="default" w:ascii="FreeSerif" w:hAnsi="FreeSerif" w:eastAsia="方正楷体_GBK" w:cs="FreeSerif"/>
          <w:b w:val="0"/>
          <w:bCs w:val="0"/>
          <w:sz w:val="28"/>
          <w:szCs w:val="28"/>
        </w:rPr>
        <w:tab/>
      </w:r>
      <w:r>
        <w:rPr>
          <w:rFonts w:hint="default" w:ascii="FreeSerif" w:hAnsi="FreeSerif" w:eastAsia="方正楷体_GBK" w:cs="FreeSerif"/>
          <w:b w:val="0"/>
          <w:bCs w:val="0"/>
          <w:sz w:val="28"/>
          <w:szCs w:val="28"/>
        </w:rPr>
        <w:fldChar w:fldCharType="begin"/>
      </w:r>
      <w:r>
        <w:rPr>
          <w:rFonts w:hint="default" w:ascii="FreeSerif" w:hAnsi="FreeSerif" w:eastAsia="方正楷体_GBK" w:cs="FreeSerif"/>
          <w:b w:val="0"/>
          <w:bCs w:val="0"/>
          <w:sz w:val="28"/>
          <w:szCs w:val="28"/>
        </w:rPr>
        <w:instrText xml:space="preserve"> PAGEREF _Toc1811061296 </w:instrText>
      </w:r>
      <w:r>
        <w:rPr>
          <w:rFonts w:hint="default" w:ascii="FreeSerif" w:hAnsi="FreeSerif" w:eastAsia="方正楷体_GBK" w:cs="FreeSerif"/>
          <w:b w:val="0"/>
          <w:bCs w:val="0"/>
          <w:sz w:val="28"/>
          <w:szCs w:val="28"/>
        </w:rPr>
        <w:fldChar w:fldCharType="separate"/>
      </w:r>
      <w:r>
        <w:rPr>
          <w:rFonts w:hint="default" w:ascii="FreeSerif" w:hAnsi="FreeSerif" w:eastAsia="方正楷体_GBK" w:cs="FreeSerif"/>
          <w:b w:val="0"/>
          <w:bCs w:val="0"/>
          <w:sz w:val="28"/>
          <w:szCs w:val="28"/>
        </w:rPr>
        <w:t>2</w:t>
      </w:r>
      <w:r>
        <w:rPr>
          <w:rFonts w:hint="default" w:ascii="FreeSerif" w:hAnsi="FreeSerif" w:eastAsia="方正楷体_GBK" w:cs="FreeSerif"/>
          <w:b w:val="0"/>
          <w:bCs w:val="0"/>
          <w:sz w:val="28"/>
          <w:szCs w:val="28"/>
        </w:rPr>
        <w:fldChar w:fldCharType="end"/>
      </w:r>
      <w:r>
        <w:rPr>
          <w:rFonts w:hint="default" w:ascii="FreeSerif" w:hAnsi="FreeSerif" w:eastAsia="方正楷体_GBK" w:cs="FreeSerif"/>
          <w:b w:val="0"/>
          <w:bCs w:val="0"/>
          <w:color w:val="auto"/>
          <w:sz w:val="28"/>
          <w:szCs w:val="28"/>
        </w:rPr>
        <w:fldChar w:fldCharType="end"/>
      </w:r>
    </w:p>
    <w:p>
      <w:pPr>
        <w:pStyle w:val="9"/>
        <w:keepNext w:val="0"/>
        <w:keepLines w:val="0"/>
        <w:pageBreakBefore w:val="0"/>
        <w:widowControl w:val="0"/>
        <w:tabs>
          <w:tab w:val="right" w:leader="dot" w:pos="8838"/>
        </w:tabs>
        <w:kinsoku/>
        <w:wordWrap/>
        <w:overflowPunct w:val="0"/>
        <w:topLinePunct w:val="0"/>
        <w:autoSpaceDE/>
        <w:autoSpaceDN/>
        <w:bidi w:val="0"/>
        <w:adjustRightInd/>
        <w:snapToGrid/>
        <w:spacing w:line="500" w:lineRule="exact"/>
        <w:ind w:left="0" w:leftChars="0" w:firstLine="420" w:firstLineChars="150"/>
        <w:textAlignment w:val="auto"/>
        <w:rPr>
          <w:rFonts w:hint="default" w:ascii="FreeSerif" w:hAnsi="FreeSerif" w:cs="FreeSerif"/>
          <w:b w:val="0"/>
          <w:bCs w:val="0"/>
          <w:sz w:val="28"/>
          <w:szCs w:val="28"/>
        </w:rPr>
      </w:pPr>
      <w:r>
        <w:rPr>
          <w:rFonts w:hint="default" w:ascii="FreeSerif" w:hAnsi="FreeSerif" w:eastAsia="方正楷体_GBK" w:cs="FreeSerif"/>
          <w:b w:val="0"/>
          <w:bCs w:val="0"/>
          <w:color w:val="auto"/>
          <w:sz w:val="28"/>
          <w:szCs w:val="28"/>
        </w:rPr>
        <w:fldChar w:fldCharType="begin"/>
      </w:r>
      <w:r>
        <w:rPr>
          <w:rFonts w:hint="default" w:ascii="FreeSerif" w:hAnsi="FreeSerif" w:eastAsia="方正楷体_GBK" w:cs="FreeSerif"/>
          <w:b w:val="0"/>
          <w:bCs w:val="0"/>
          <w:sz w:val="28"/>
          <w:szCs w:val="28"/>
        </w:rPr>
        <w:instrText xml:space="preserve"> HYPERLINK \l _Toc473905068 </w:instrText>
      </w:r>
      <w:r>
        <w:rPr>
          <w:rFonts w:hint="default" w:ascii="FreeSerif" w:hAnsi="FreeSerif" w:eastAsia="方正楷体_GBK" w:cs="FreeSerif"/>
          <w:b w:val="0"/>
          <w:bCs w:val="0"/>
          <w:sz w:val="28"/>
          <w:szCs w:val="28"/>
        </w:rPr>
        <w:fldChar w:fldCharType="separate"/>
      </w:r>
      <w:r>
        <w:rPr>
          <w:rFonts w:hint="default" w:ascii="FreeSerif" w:hAnsi="FreeSerif" w:eastAsia="方正楷体_GBK" w:cs="FreeSerif"/>
          <w:b w:val="0"/>
          <w:bCs w:val="0"/>
          <w:kern w:val="0"/>
          <w:sz w:val="28"/>
          <w:szCs w:val="28"/>
        </w:rPr>
        <w:t>（二）形势研判</w:t>
      </w:r>
      <w:r>
        <w:rPr>
          <w:rFonts w:hint="default" w:ascii="FreeSerif" w:hAnsi="FreeSerif" w:eastAsia="方正楷体_GBK" w:cs="FreeSerif"/>
          <w:b w:val="0"/>
          <w:bCs w:val="0"/>
          <w:sz w:val="28"/>
          <w:szCs w:val="28"/>
        </w:rPr>
        <w:tab/>
      </w:r>
      <w:r>
        <w:rPr>
          <w:rFonts w:hint="default" w:ascii="FreeSerif" w:hAnsi="FreeSerif" w:eastAsia="方正楷体_GBK" w:cs="FreeSerif"/>
          <w:b w:val="0"/>
          <w:bCs w:val="0"/>
          <w:sz w:val="28"/>
          <w:szCs w:val="28"/>
        </w:rPr>
        <w:fldChar w:fldCharType="begin"/>
      </w:r>
      <w:r>
        <w:rPr>
          <w:rFonts w:hint="default" w:ascii="FreeSerif" w:hAnsi="FreeSerif" w:eastAsia="方正楷体_GBK" w:cs="FreeSerif"/>
          <w:b w:val="0"/>
          <w:bCs w:val="0"/>
          <w:sz w:val="28"/>
          <w:szCs w:val="28"/>
        </w:rPr>
        <w:instrText xml:space="preserve"> PAGEREF _Toc473905068 </w:instrText>
      </w:r>
      <w:r>
        <w:rPr>
          <w:rFonts w:hint="default" w:ascii="FreeSerif" w:hAnsi="FreeSerif" w:eastAsia="方正楷体_GBK" w:cs="FreeSerif"/>
          <w:b w:val="0"/>
          <w:bCs w:val="0"/>
          <w:sz w:val="28"/>
          <w:szCs w:val="28"/>
        </w:rPr>
        <w:fldChar w:fldCharType="separate"/>
      </w:r>
      <w:r>
        <w:rPr>
          <w:rFonts w:hint="default" w:ascii="FreeSerif" w:hAnsi="FreeSerif" w:eastAsia="方正楷体_GBK" w:cs="FreeSerif"/>
          <w:b w:val="0"/>
          <w:bCs w:val="0"/>
          <w:sz w:val="28"/>
          <w:szCs w:val="28"/>
        </w:rPr>
        <w:t>5</w:t>
      </w:r>
      <w:r>
        <w:rPr>
          <w:rFonts w:hint="default" w:ascii="FreeSerif" w:hAnsi="FreeSerif" w:eastAsia="方正楷体_GBK" w:cs="FreeSerif"/>
          <w:b w:val="0"/>
          <w:bCs w:val="0"/>
          <w:sz w:val="28"/>
          <w:szCs w:val="28"/>
        </w:rPr>
        <w:fldChar w:fldCharType="end"/>
      </w:r>
      <w:r>
        <w:rPr>
          <w:rFonts w:hint="default" w:ascii="FreeSerif" w:hAnsi="FreeSerif" w:eastAsia="方正楷体_GBK" w:cs="FreeSerif"/>
          <w:b w:val="0"/>
          <w:bCs w:val="0"/>
          <w:color w:val="auto"/>
          <w:sz w:val="28"/>
          <w:szCs w:val="28"/>
        </w:rPr>
        <w:fldChar w:fldCharType="end"/>
      </w:r>
    </w:p>
    <w:p>
      <w:pPr>
        <w:pStyle w:val="8"/>
        <w:keepNext w:val="0"/>
        <w:keepLines w:val="0"/>
        <w:pageBreakBefore w:val="0"/>
        <w:widowControl w:val="0"/>
        <w:tabs>
          <w:tab w:val="right" w:leader="dot" w:pos="8838"/>
        </w:tabs>
        <w:kinsoku/>
        <w:wordWrap/>
        <w:overflowPunct w:val="0"/>
        <w:topLinePunct w:val="0"/>
        <w:autoSpaceDE/>
        <w:autoSpaceDN/>
        <w:bidi w:val="0"/>
        <w:adjustRightInd/>
        <w:snapToGrid/>
        <w:spacing w:line="500" w:lineRule="exact"/>
        <w:textAlignment w:val="auto"/>
        <w:rPr>
          <w:rFonts w:hint="default" w:ascii="FreeSerif" w:hAnsi="FreeSerif" w:cs="FreeSerif"/>
          <w:b w:val="0"/>
          <w:bCs w:val="0"/>
          <w:sz w:val="28"/>
          <w:szCs w:val="28"/>
        </w:rPr>
      </w:pPr>
      <w:r>
        <w:rPr>
          <w:rFonts w:hint="default" w:ascii="FreeSerif" w:hAnsi="FreeSerif" w:eastAsia="方正仿宋_GBK" w:cs="FreeSerif"/>
          <w:b w:val="0"/>
          <w:bCs w:val="0"/>
          <w:color w:val="auto"/>
          <w:sz w:val="28"/>
          <w:szCs w:val="28"/>
        </w:rPr>
        <w:fldChar w:fldCharType="begin"/>
      </w:r>
      <w:r>
        <w:rPr>
          <w:rFonts w:hint="default" w:ascii="FreeSerif" w:hAnsi="FreeSerif" w:eastAsia="方正仿宋_GBK" w:cs="FreeSerif"/>
          <w:b w:val="0"/>
          <w:bCs w:val="0"/>
          <w:sz w:val="28"/>
          <w:szCs w:val="28"/>
        </w:rPr>
        <w:instrText xml:space="preserve"> HYPERLINK \l _Toc1049120752 </w:instrText>
      </w:r>
      <w:r>
        <w:rPr>
          <w:rFonts w:hint="default" w:ascii="FreeSerif" w:hAnsi="FreeSerif" w:eastAsia="方正仿宋_GBK" w:cs="FreeSerif"/>
          <w:b w:val="0"/>
          <w:bCs w:val="0"/>
          <w:sz w:val="28"/>
          <w:szCs w:val="28"/>
        </w:rPr>
        <w:fldChar w:fldCharType="separate"/>
      </w:r>
      <w:r>
        <w:rPr>
          <w:rFonts w:hint="default" w:ascii="FreeSerif" w:hAnsi="FreeSerif" w:eastAsia="方正黑体_GBK" w:cs="FreeSerif"/>
          <w:b w:val="0"/>
          <w:bCs w:val="0"/>
          <w:kern w:val="44"/>
          <w:sz w:val="28"/>
          <w:szCs w:val="28"/>
        </w:rPr>
        <w:t>二、指导思想、基本原则、主要目标及防治重点</w:t>
      </w:r>
      <w:r>
        <w:rPr>
          <w:rFonts w:hint="default" w:ascii="FreeSerif" w:hAnsi="FreeSerif" w:cs="FreeSerif"/>
          <w:b w:val="0"/>
          <w:bCs w:val="0"/>
          <w:sz w:val="28"/>
          <w:szCs w:val="28"/>
        </w:rPr>
        <w:tab/>
      </w:r>
      <w:r>
        <w:rPr>
          <w:rFonts w:hint="default" w:ascii="FreeSerif" w:hAnsi="FreeSerif" w:cs="FreeSerif"/>
          <w:b w:val="0"/>
          <w:bCs w:val="0"/>
          <w:sz w:val="28"/>
          <w:szCs w:val="28"/>
        </w:rPr>
        <w:fldChar w:fldCharType="begin"/>
      </w:r>
      <w:r>
        <w:rPr>
          <w:rFonts w:hint="default" w:ascii="FreeSerif" w:hAnsi="FreeSerif" w:cs="FreeSerif"/>
          <w:b w:val="0"/>
          <w:bCs w:val="0"/>
          <w:sz w:val="28"/>
          <w:szCs w:val="28"/>
        </w:rPr>
        <w:instrText xml:space="preserve"> PAGEREF _Toc1049120752 </w:instrText>
      </w:r>
      <w:r>
        <w:rPr>
          <w:rFonts w:hint="default" w:ascii="FreeSerif" w:hAnsi="FreeSerif" w:cs="FreeSerif"/>
          <w:b w:val="0"/>
          <w:bCs w:val="0"/>
          <w:sz w:val="28"/>
          <w:szCs w:val="28"/>
        </w:rPr>
        <w:fldChar w:fldCharType="separate"/>
      </w:r>
      <w:r>
        <w:rPr>
          <w:rFonts w:hint="default" w:ascii="FreeSerif" w:hAnsi="FreeSerif" w:cs="FreeSerif"/>
          <w:b w:val="0"/>
          <w:bCs w:val="0"/>
          <w:sz w:val="28"/>
          <w:szCs w:val="28"/>
        </w:rPr>
        <w:t>8</w:t>
      </w:r>
      <w:r>
        <w:rPr>
          <w:rFonts w:hint="default" w:ascii="FreeSerif" w:hAnsi="FreeSerif" w:cs="FreeSerif"/>
          <w:b w:val="0"/>
          <w:bCs w:val="0"/>
          <w:sz w:val="28"/>
          <w:szCs w:val="28"/>
        </w:rPr>
        <w:fldChar w:fldCharType="end"/>
      </w:r>
      <w:r>
        <w:rPr>
          <w:rFonts w:hint="default" w:ascii="FreeSerif" w:hAnsi="FreeSerif" w:eastAsia="方正仿宋_GBK" w:cs="FreeSerif"/>
          <w:b w:val="0"/>
          <w:bCs w:val="0"/>
          <w:color w:val="auto"/>
          <w:sz w:val="28"/>
          <w:szCs w:val="28"/>
        </w:rPr>
        <w:fldChar w:fldCharType="end"/>
      </w:r>
    </w:p>
    <w:p>
      <w:pPr>
        <w:pStyle w:val="9"/>
        <w:keepNext w:val="0"/>
        <w:keepLines w:val="0"/>
        <w:pageBreakBefore w:val="0"/>
        <w:widowControl w:val="0"/>
        <w:tabs>
          <w:tab w:val="right" w:leader="dot" w:pos="8838"/>
        </w:tabs>
        <w:kinsoku/>
        <w:wordWrap/>
        <w:overflowPunct w:val="0"/>
        <w:topLinePunct w:val="0"/>
        <w:autoSpaceDE/>
        <w:autoSpaceDN/>
        <w:bidi w:val="0"/>
        <w:adjustRightInd/>
        <w:snapToGrid/>
        <w:spacing w:line="500" w:lineRule="exact"/>
        <w:ind w:left="0" w:leftChars="0" w:firstLine="420" w:firstLineChars="150"/>
        <w:textAlignment w:val="auto"/>
        <w:rPr>
          <w:rFonts w:hint="default" w:ascii="FreeSerif" w:hAnsi="FreeSerif" w:eastAsia="方正楷体_GBK" w:cs="FreeSerif"/>
          <w:b w:val="0"/>
          <w:bCs w:val="0"/>
          <w:sz w:val="28"/>
          <w:szCs w:val="28"/>
        </w:rPr>
      </w:pPr>
      <w:r>
        <w:rPr>
          <w:rFonts w:hint="default" w:ascii="FreeSerif" w:hAnsi="FreeSerif" w:eastAsia="方正楷体_GBK" w:cs="FreeSerif"/>
          <w:b w:val="0"/>
          <w:bCs w:val="0"/>
          <w:color w:val="auto"/>
          <w:sz w:val="28"/>
          <w:szCs w:val="28"/>
        </w:rPr>
        <w:fldChar w:fldCharType="begin"/>
      </w:r>
      <w:r>
        <w:rPr>
          <w:rFonts w:hint="default" w:ascii="FreeSerif" w:hAnsi="FreeSerif" w:eastAsia="方正楷体_GBK" w:cs="FreeSerif"/>
          <w:b w:val="0"/>
          <w:bCs w:val="0"/>
          <w:sz w:val="28"/>
          <w:szCs w:val="28"/>
        </w:rPr>
        <w:instrText xml:space="preserve"> HYPERLINK \l _Toc947068990 </w:instrText>
      </w:r>
      <w:r>
        <w:rPr>
          <w:rFonts w:hint="default" w:ascii="FreeSerif" w:hAnsi="FreeSerif" w:eastAsia="方正楷体_GBK" w:cs="FreeSerif"/>
          <w:b w:val="0"/>
          <w:bCs w:val="0"/>
          <w:sz w:val="28"/>
          <w:szCs w:val="28"/>
        </w:rPr>
        <w:fldChar w:fldCharType="separate"/>
      </w:r>
      <w:r>
        <w:rPr>
          <w:rFonts w:hint="default" w:ascii="FreeSerif" w:hAnsi="FreeSerif" w:eastAsia="方正楷体_GBK" w:cs="FreeSerif"/>
          <w:b w:val="0"/>
          <w:bCs w:val="0"/>
          <w:kern w:val="0"/>
          <w:sz w:val="28"/>
          <w:szCs w:val="28"/>
        </w:rPr>
        <w:t>（一）指导思想</w:t>
      </w:r>
      <w:r>
        <w:rPr>
          <w:rFonts w:hint="default" w:ascii="FreeSerif" w:hAnsi="FreeSerif" w:eastAsia="方正楷体_GBK" w:cs="FreeSerif"/>
          <w:b w:val="0"/>
          <w:bCs w:val="0"/>
          <w:sz w:val="28"/>
          <w:szCs w:val="28"/>
        </w:rPr>
        <w:tab/>
      </w:r>
      <w:r>
        <w:rPr>
          <w:rFonts w:hint="default" w:ascii="FreeSerif" w:hAnsi="FreeSerif" w:eastAsia="方正楷体_GBK" w:cs="FreeSerif"/>
          <w:b w:val="0"/>
          <w:bCs w:val="0"/>
          <w:sz w:val="28"/>
          <w:szCs w:val="28"/>
        </w:rPr>
        <w:fldChar w:fldCharType="begin"/>
      </w:r>
      <w:r>
        <w:rPr>
          <w:rFonts w:hint="default" w:ascii="FreeSerif" w:hAnsi="FreeSerif" w:eastAsia="方正楷体_GBK" w:cs="FreeSerif"/>
          <w:b w:val="0"/>
          <w:bCs w:val="0"/>
          <w:sz w:val="28"/>
          <w:szCs w:val="28"/>
        </w:rPr>
        <w:instrText xml:space="preserve"> PAGEREF _Toc947068990 </w:instrText>
      </w:r>
      <w:r>
        <w:rPr>
          <w:rFonts w:hint="default" w:ascii="FreeSerif" w:hAnsi="FreeSerif" w:eastAsia="方正楷体_GBK" w:cs="FreeSerif"/>
          <w:b w:val="0"/>
          <w:bCs w:val="0"/>
          <w:sz w:val="28"/>
          <w:szCs w:val="28"/>
        </w:rPr>
        <w:fldChar w:fldCharType="separate"/>
      </w:r>
      <w:r>
        <w:rPr>
          <w:rFonts w:hint="default" w:ascii="FreeSerif" w:hAnsi="FreeSerif" w:eastAsia="方正楷体_GBK" w:cs="FreeSerif"/>
          <w:b w:val="0"/>
          <w:bCs w:val="0"/>
          <w:sz w:val="28"/>
          <w:szCs w:val="28"/>
        </w:rPr>
        <w:t>8</w:t>
      </w:r>
      <w:r>
        <w:rPr>
          <w:rFonts w:hint="default" w:ascii="FreeSerif" w:hAnsi="FreeSerif" w:eastAsia="方正楷体_GBK" w:cs="FreeSerif"/>
          <w:b w:val="0"/>
          <w:bCs w:val="0"/>
          <w:sz w:val="28"/>
          <w:szCs w:val="28"/>
        </w:rPr>
        <w:fldChar w:fldCharType="end"/>
      </w:r>
      <w:r>
        <w:rPr>
          <w:rFonts w:hint="default" w:ascii="FreeSerif" w:hAnsi="FreeSerif" w:eastAsia="方正楷体_GBK" w:cs="FreeSerif"/>
          <w:b w:val="0"/>
          <w:bCs w:val="0"/>
          <w:color w:val="auto"/>
          <w:sz w:val="28"/>
          <w:szCs w:val="28"/>
        </w:rPr>
        <w:fldChar w:fldCharType="end"/>
      </w:r>
    </w:p>
    <w:p>
      <w:pPr>
        <w:pStyle w:val="9"/>
        <w:keepNext w:val="0"/>
        <w:keepLines w:val="0"/>
        <w:pageBreakBefore w:val="0"/>
        <w:widowControl w:val="0"/>
        <w:tabs>
          <w:tab w:val="right" w:leader="dot" w:pos="8838"/>
        </w:tabs>
        <w:kinsoku/>
        <w:wordWrap/>
        <w:overflowPunct w:val="0"/>
        <w:topLinePunct w:val="0"/>
        <w:autoSpaceDE/>
        <w:autoSpaceDN/>
        <w:bidi w:val="0"/>
        <w:adjustRightInd/>
        <w:snapToGrid/>
        <w:spacing w:line="500" w:lineRule="exact"/>
        <w:ind w:left="0" w:leftChars="0" w:firstLine="420" w:firstLineChars="150"/>
        <w:textAlignment w:val="auto"/>
        <w:rPr>
          <w:rFonts w:hint="default" w:ascii="FreeSerif" w:hAnsi="FreeSerif" w:eastAsia="方正楷体_GBK" w:cs="FreeSerif"/>
          <w:b w:val="0"/>
          <w:bCs w:val="0"/>
          <w:sz w:val="28"/>
          <w:szCs w:val="28"/>
        </w:rPr>
      </w:pPr>
      <w:r>
        <w:rPr>
          <w:rFonts w:hint="default" w:ascii="FreeSerif" w:hAnsi="FreeSerif" w:eastAsia="方正楷体_GBK" w:cs="FreeSerif"/>
          <w:b w:val="0"/>
          <w:bCs w:val="0"/>
          <w:color w:val="auto"/>
          <w:sz w:val="28"/>
          <w:szCs w:val="28"/>
        </w:rPr>
        <w:fldChar w:fldCharType="begin"/>
      </w:r>
      <w:r>
        <w:rPr>
          <w:rFonts w:hint="default" w:ascii="FreeSerif" w:hAnsi="FreeSerif" w:eastAsia="方正楷体_GBK" w:cs="FreeSerif"/>
          <w:b w:val="0"/>
          <w:bCs w:val="0"/>
          <w:sz w:val="28"/>
          <w:szCs w:val="28"/>
        </w:rPr>
        <w:instrText xml:space="preserve"> HYPERLINK \l _Toc771174618 </w:instrText>
      </w:r>
      <w:r>
        <w:rPr>
          <w:rFonts w:hint="default" w:ascii="FreeSerif" w:hAnsi="FreeSerif" w:eastAsia="方正楷体_GBK" w:cs="FreeSerif"/>
          <w:b w:val="0"/>
          <w:bCs w:val="0"/>
          <w:sz w:val="28"/>
          <w:szCs w:val="28"/>
        </w:rPr>
        <w:fldChar w:fldCharType="separate"/>
      </w:r>
      <w:r>
        <w:rPr>
          <w:rFonts w:hint="default" w:ascii="FreeSerif" w:hAnsi="FreeSerif" w:eastAsia="方正楷体_GBK" w:cs="FreeSerif"/>
          <w:b w:val="0"/>
          <w:bCs w:val="0"/>
          <w:kern w:val="0"/>
          <w:sz w:val="28"/>
          <w:szCs w:val="28"/>
        </w:rPr>
        <w:t>（二）基本原则</w:t>
      </w:r>
      <w:r>
        <w:rPr>
          <w:rFonts w:hint="default" w:ascii="FreeSerif" w:hAnsi="FreeSerif" w:eastAsia="方正楷体_GBK" w:cs="FreeSerif"/>
          <w:b w:val="0"/>
          <w:bCs w:val="0"/>
          <w:sz w:val="28"/>
          <w:szCs w:val="28"/>
        </w:rPr>
        <w:tab/>
      </w:r>
      <w:r>
        <w:rPr>
          <w:rFonts w:hint="default" w:ascii="FreeSerif" w:hAnsi="FreeSerif" w:eastAsia="方正楷体_GBK" w:cs="FreeSerif"/>
          <w:b w:val="0"/>
          <w:bCs w:val="0"/>
          <w:sz w:val="28"/>
          <w:szCs w:val="28"/>
        </w:rPr>
        <w:fldChar w:fldCharType="begin"/>
      </w:r>
      <w:r>
        <w:rPr>
          <w:rFonts w:hint="default" w:ascii="FreeSerif" w:hAnsi="FreeSerif" w:eastAsia="方正楷体_GBK" w:cs="FreeSerif"/>
          <w:b w:val="0"/>
          <w:bCs w:val="0"/>
          <w:sz w:val="28"/>
          <w:szCs w:val="28"/>
        </w:rPr>
        <w:instrText xml:space="preserve"> PAGEREF _Toc771174618 </w:instrText>
      </w:r>
      <w:r>
        <w:rPr>
          <w:rFonts w:hint="default" w:ascii="FreeSerif" w:hAnsi="FreeSerif" w:eastAsia="方正楷体_GBK" w:cs="FreeSerif"/>
          <w:b w:val="0"/>
          <w:bCs w:val="0"/>
          <w:sz w:val="28"/>
          <w:szCs w:val="28"/>
        </w:rPr>
        <w:fldChar w:fldCharType="separate"/>
      </w:r>
      <w:r>
        <w:rPr>
          <w:rFonts w:hint="default" w:ascii="FreeSerif" w:hAnsi="FreeSerif" w:eastAsia="方正楷体_GBK" w:cs="FreeSerif"/>
          <w:b w:val="0"/>
          <w:bCs w:val="0"/>
          <w:sz w:val="28"/>
          <w:szCs w:val="28"/>
        </w:rPr>
        <w:t>8</w:t>
      </w:r>
      <w:r>
        <w:rPr>
          <w:rFonts w:hint="default" w:ascii="FreeSerif" w:hAnsi="FreeSerif" w:eastAsia="方正楷体_GBK" w:cs="FreeSerif"/>
          <w:b w:val="0"/>
          <w:bCs w:val="0"/>
          <w:sz w:val="28"/>
          <w:szCs w:val="28"/>
        </w:rPr>
        <w:fldChar w:fldCharType="end"/>
      </w:r>
      <w:r>
        <w:rPr>
          <w:rFonts w:hint="default" w:ascii="FreeSerif" w:hAnsi="FreeSerif" w:eastAsia="方正楷体_GBK" w:cs="FreeSerif"/>
          <w:b w:val="0"/>
          <w:bCs w:val="0"/>
          <w:color w:val="auto"/>
          <w:sz w:val="28"/>
          <w:szCs w:val="28"/>
        </w:rPr>
        <w:fldChar w:fldCharType="end"/>
      </w:r>
    </w:p>
    <w:p>
      <w:pPr>
        <w:pStyle w:val="9"/>
        <w:keepNext w:val="0"/>
        <w:keepLines w:val="0"/>
        <w:pageBreakBefore w:val="0"/>
        <w:widowControl w:val="0"/>
        <w:tabs>
          <w:tab w:val="right" w:leader="dot" w:pos="8838"/>
        </w:tabs>
        <w:kinsoku/>
        <w:wordWrap/>
        <w:overflowPunct w:val="0"/>
        <w:topLinePunct w:val="0"/>
        <w:autoSpaceDE/>
        <w:autoSpaceDN/>
        <w:bidi w:val="0"/>
        <w:adjustRightInd/>
        <w:snapToGrid/>
        <w:spacing w:line="500" w:lineRule="exact"/>
        <w:ind w:left="0" w:leftChars="0" w:firstLine="420" w:firstLineChars="150"/>
        <w:textAlignment w:val="auto"/>
        <w:rPr>
          <w:rFonts w:hint="default" w:ascii="FreeSerif" w:hAnsi="FreeSerif" w:cs="FreeSerif"/>
          <w:b w:val="0"/>
          <w:bCs w:val="0"/>
          <w:sz w:val="28"/>
          <w:szCs w:val="28"/>
        </w:rPr>
      </w:pPr>
      <w:r>
        <w:rPr>
          <w:rFonts w:hint="default" w:ascii="FreeSerif" w:hAnsi="FreeSerif" w:eastAsia="方正楷体_GBK" w:cs="FreeSerif"/>
          <w:b w:val="0"/>
          <w:bCs w:val="0"/>
          <w:color w:val="auto"/>
          <w:sz w:val="28"/>
          <w:szCs w:val="28"/>
        </w:rPr>
        <w:fldChar w:fldCharType="begin"/>
      </w:r>
      <w:r>
        <w:rPr>
          <w:rFonts w:hint="default" w:ascii="FreeSerif" w:hAnsi="FreeSerif" w:eastAsia="方正楷体_GBK" w:cs="FreeSerif"/>
          <w:b w:val="0"/>
          <w:bCs w:val="0"/>
          <w:sz w:val="28"/>
          <w:szCs w:val="28"/>
        </w:rPr>
        <w:instrText xml:space="preserve"> HYPERLINK \l _Toc322267933 </w:instrText>
      </w:r>
      <w:r>
        <w:rPr>
          <w:rFonts w:hint="default" w:ascii="FreeSerif" w:hAnsi="FreeSerif" w:eastAsia="方正楷体_GBK" w:cs="FreeSerif"/>
          <w:b w:val="0"/>
          <w:bCs w:val="0"/>
          <w:sz w:val="28"/>
          <w:szCs w:val="28"/>
        </w:rPr>
        <w:fldChar w:fldCharType="separate"/>
      </w:r>
      <w:r>
        <w:rPr>
          <w:rFonts w:hint="default" w:ascii="FreeSerif" w:hAnsi="FreeSerif" w:eastAsia="方正楷体_GBK" w:cs="FreeSerif"/>
          <w:b w:val="0"/>
          <w:bCs w:val="0"/>
          <w:kern w:val="0"/>
          <w:sz w:val="28"/>
          <w:szCs w:val="28"/>
        </w:rPr>
        <w:t>（三）主要目标</w:t>
      </w:r>
      <w:r>
        <w:rPr>
          <w:rFonts w:hint="default" w:ascii="FreeSerif" w:hAnsi="FreeSerif" w:eastAsia="方正楷体_GBK" w:cs="FreeSerif"/>
          <w:b w:val="0"/>
          <w:bCs w:val="0"/>
          <w:sz w:val="28"/>
          <w:szCs w:val="28"/>
        </w:rPr>
        <w:tab/>
      </w:r>
      <w:r>
        <w:rPr>
          <w:rFonts w:hint="default" w:ascii="FreeSerif" w:hAnsi="FreeSerif" w:eastAsia="方正楷体_GBK" w:cs="FreeSerif"/>
          <w:b w:val="0"/>
          <w:bCs w:val="0"/>
          <w:sz w:val="28"/>
          <w:szCs w:val="28"/>
        </w:rPr>
        <w:fldChar w:fldCharType="begin"/>
      </w:r>
      <w:r>
        <w:rPr>
          <w:rFonts w:hint="default" w:ascii="FreeSerif" w:hAnsi="FreeSerif" w:eastAsia="方正楷体_GBK" w:cs="FreeSerif"/>
          <w:b w:val="0"/>
          <w:bCs w:val="0"/>
          <w:sz w:val="28"/>
          <w:szCs w:val="28"/>
        </w:rPr>
        <w:instrText xml:space="preserve"> PAGEREF _Toc322267933 </w:instrText>
      </w:r>
      <w:r>
        <w:rPr>
          <w:rFonts w:hint="default" w:ascii="FreeSerif" w:hAnsi="FreeSerif" w:eastAsia="方正楷体_GBK" w:cs="FreeSerif"/>
          <w:b w:val="0"/>
          <w:bCs w:val="0"/>
          <w:sz w:val="28"/>
          <w:szCs w:val="28"/>
        </w:rPr>
        <w:fldChar w:fldCharType="separate"/>
      </w:r>
      <w:r>
        <w:rPr>
          <w:rFonts w:hint="default" w:ascii="FreeSerif" w:hAnsi="FreeSerif" w:eastAsia="方正楷体_GBK" w:cs="FreeSerif"/>
          <w:b w:val="0"/>
          <w:bCs w:val="0"/>
          <w:sz w:val="28"/>
          <w:szCs w:val="28"/>
        </w:rPr>
        <w:t>9</w:t>
      </w:r>
      <w:r>
        <w:rPr>
          <w:rFonts w:hint="default" w:ascii="FreeSerif" w:hAnsi="FreeSerif" w:eastAsia="方正楷体_GBK" w:cs="FreeSerif"/>
          <w:b w:val="0"/>
          <w:bCs w:val="0"/>
          <w:sz w:val="28"/>
          <w:szCs w:val="28"/>
        </w:rPr>
        <w:fldChar w:fldCharType="end"/>
      </w:r>
      <w:r>
        <w:rPr>
          <w:rFonts w:hint="default" w:ascii="FreeSerif" w:hAnsi="FreeSerif" w:eastAsia="方正楷体_GBK" w:cs="FreeSerif"/>
          <w:b w:val="0"/>
          <w:bCs w:val="0"/>
          <w:color w:val="auto"/>
          <w:sz w:val="28"/>
          <w:szCs w:val="28"/>
        </w:rPr>
        <w:fldChar w:fldCharType="end"/>
      </w:r>
    </w:p>
    <w:p>
      <w:pPr>
        <w:pStyle w:val="8"/>
        <w:keepNext w:val="0"/>
        <w:keepLines w:val="0"/>
        <w:pageBreakBefore w:val="0"/>
        <w:widowControl w:val="0"/>
        <w:tabs>
          <w:tab w:val="right" w:leader="dot" w:pos="8838"/>
        </w:tabs>
        <w:kinsoku/>
        <w:wordWrap/>
        <w:overflowPunct w:val="0"/>
        <w:topLinePunct w:val="0"/>
        <w:autoSpaceDE/>
        <w:autoSpaceDN/>
        <w:bidi w:val="0"/>
        <w:adjustRightInd/>
        <w:snapToGrid/>
        <w:spacing w:line="500" w:lineRule="exact"/>
        <w:textAlignment w:val="auto"/>
        <w:rPr>
          <w:rFonts w:hint="default" w:ascii="FreeSerif" w:hAnsi="FreeSerif" w:cs="FreeSerif"/>
          <w:b w:val="0"/>
          <w:bCs w:val="0"/>
          <w:sz w:val="28"/>
          <w:szCs w:val="28"/>
        </w:rPr>
      </w:pPr>
      <w:r>
        <w:rPr>
          <w:rFonts w:hint="default" w:ascii="FreeSerif" w:hAnsi="FreeSerif" w:eastAsia="方正仿宋_GBK" w:cs="FreeSerif"/>
          <w:b w:val="0"/>
          <w:bCs w:val="0"/>
          <w:color w:val="auto"/>
          <w:sz w:val="28"/>
          <w:szCs w:val="28"/>
        </w:rPr>
        <w:fldChar w:fldCharType="begin"/>
      </w:r>
      <w:r>
        <w:rPr>
          <w:rFonts w:hint="default" w:ascii="FreeSerif" w:hAnsi="FreeSerif" w:eastAsia="方正仿宋_GBK" w:cs="FreeSerif"/>
          <w:b w:val="0"/>
          <w:bCs w:val="0"/>
          <w:sz w:val="28"/>
          <w:szCs w:val="28"/>
        </w:rPr>
        <w:instrText xml:space="preserve"> HYPERLINK \l _Toc1915275397 </w:instrText>
      </w:r>
      <w:r>
        <w:rPr>
          <w:rFonts w:hint="default" w:ascii="FreeSerif" w:hAnsi="FreeSerif" w:eastAsia="方正仿宋_GBK" w:cs="FreeSerif"/>
          <w:b w:val="0"/>
          <w:bCs w:val="0"/>
          <w:sz w:val="28"/>
          <w:szCs w:val="28"/>
        </w:rPr>
        <w:fldChar w:fldCharType="separate"/>
      </w:r>
      <w:r>
        <w:rPr>
          <w:rFonts w:hint="default" w:ascii="FreeSerif" w:hAnsi="FreeSerif" w:eastAsia="方正黑体_GBK" w:cs="FreeSerif"/>
          <w:b w:val="0"/>
          <w:bCs w:val="0"/>
          <w:kern w:val="44"/>
          <w:sz w:val="28"/>
          <w:szCs w:val="28"/>
        </w:rPr>
        <w:t>三、主要任务</w:t>
      </w:r>
      <w:r>
        <w:rPr>
          <w:rFonts w:hint="default" w:ascii="FreeSerif" w:hAnsi="FreeSerif" w:cs="FreeSerif"/>
          <w:b w:val="0"/>
          <w:bCs w:val="0"/>
          <w:sz w:val="28"/>
          <w:szCs w:val="28"/>
        </w:rPr>
        <w:tab/>
      </w:r>
      <w:r>
        <w:rPr>
          <w:rFonts w:hint="default" w:ascii="FreeSerif" w:hAnsi="FreeSerif" w:cs="FreeSerif"/>
          <w:b w:val="0"/>
          <w:bCs w:val="0"/>
          <w:sz w:val="28"/>
          <w:szCs w:val="28"/>
        </w:rPr>
        <w:fldChar w:fldCharType="begin"/>
      </w:r>
      <w:r>
        <w:rPr>
          <w:rFonts w:hint="default" w:ascii="FreeSerif" w:hAnsi="FreeSerif" w:cs="FreeSerif"/>
          <w:b w:val="0"/>
          <w:bCs w:val="0"/>
          <w:sz w:val="28"/>
          <w:szCs w:val="28"/>
        </w:rPr>
        <w:instrText xml:space="preserve"> PAGEREF _Toc1915275397 </w:instrText>
      </w:r>
      <w:r>
        <w:rPr>
          <w:rFonts w:hint="default" w:ascii="FreeSerif" w:hAnsi="FreeSerif" w:cs="FreeSerif"/>
          <w:b w:val="0"/>
          <w:bCs w:val="0"/>
          <w:sz w:val="28"/>
          <w:szCs w:val="28"/>
        </w:rPr>
        <w:fldChar w:fldCharType="separate"/>
      </w:r>
      <w:r>
        <w:rPr>
          <w:rFonts w:hint="default" w:ascii="FreeSerif" w:hAnsi="FreeSerif" w:cs="FreeSerif"/>
          <w:b w:val="0"/>
          <w:bCs w:val="0"/>
          <w:sz w:val="28"/>
          <w:szCs w:val="28"/>
        </w:rPr>
        <w:t>10</w:t>
      </w:r>
      <w:r>
        <w:rPr>
          <w:rFonts w:hint="default" w:ascii="FreeSerif" w:hAnsi="FreeSerif" w:cs="FreeSerif"/>
          <w:b w:val="0"/>
          <w:bCs w:val="0"/>
          <w:sz w:val="28"/>
          <w:szCs w:val="28"/>
        </w:rPr>
        <w:fldChar w:fldCharType="end"/>
      </w:r>
      <w:r>
        <w:rPr>
          <w:rFonts w:hint="default" w:ascii="FreeSerif" w:hAnsi="FreeSerif" w:eastAsia="方正仿宋_GBK" w:cs="FreeSerif"/>
          <w:b w:val="0"/>
          <w:bCs w:val="0"/>
          <w:color w:val="auto"/>
          <w:sz w:val="28"/>
          <w:szCs w:val="28"/>
        </w:rPr>
        <w:fldChar w:fldCharType="end"/>
      </w:r>
    </w:p>
    <w:p>
      <w:pPr>
        <w:pStyle w:val="9"/>
        <w:keepNext w:val="0"/>
        <w:keepLines w:val="0"/>
        <w:pageBreakBefore w:val="0"/>
        <w:widowControl w:val="0"/>
        <w:tabs>
          <w:tab w:val="right" w:leader="dot" w:pos="8838"/>
        </w:tabs>
        <w:kinsoku/>
        <w:wordWrap/>
        <w:overflowPunct w:val="0"/>
        <w:topLinePunct w:val="0"/>
        <w:autoSpaceDE/>
        <w:autoSpaceDN/>
        <w:bidi w:val="0"/>
        <w:adjustRightInd/>
        <w:snapToGrid/>
        <w:spacing w:line="500" w:lineRule="exact"/>
        <w:ind w:left="0" w:leftChars="0" w:firstLine="420" w:firstLineChars="150"/>
        <w:textAlignment w:val="auto"/>
        <w:rPr>
          <w:rFonts w:hint="default" w:ascii="FreeSerif" w:hAnsi="FreeSerif" w:eastAsia="方正楷体_GBK" w:cs="FreeSerif"/>
          <w:b w:val="0"/>
          <w:bCs w:val="0"/>
          <w:sz w:val="28"/>
          <w:szCs w:val="28"/>
        </w:rPr>
      </w:pPr>
      <w:r>
        <w:rPr>
          <w:rFonts w:hint="default" w:ascii="FreeSerif" w:hAnsi="FreeSerif" w:eastAsia="方正楷体_GBK" w:cs="FreeSerif"/>
          <w:b w:val="0"/>
          <w:bCs w:val="0"/>
          <w:color w:val="auto"/>
          <w:sz w:val="28"/>
          <w:szCs w:val="28"/>
        </w:rPr>
        <w:fldChar w:fldCharType="begin"/>
      </w:r>
      <w:r>
        <w:rPr>
          <w:rFonts w:hint="default" w:ascii="FreeSerif" w:hAnsi="FreeSerif" w:eastAsia="方正楷体_GBK" w:cs="FreeSerif"/>
          <w:b w:val="0"/>
          <w:bCs w:val="0"/>
          <w:sz w:val="28"/>
          <w:szCs w:val="28"/>
        </w:rPr>
        <w:instrText xml:space="preserve"> HYPERLINK \l _Toc1440799583 </w:instrText>
      </w:r>
      <w:r>
        <w:rPr>
          <w:rFonts w:hint="default" w:ascii="FreeSerif" w:hAnsi="FreeSerif" w:eastAsia="方正楷体_GBK" w:cs="FreeSerif"/>
          <w:b w:val="0"/>
          <w:bCs w:val="0"/>
          <w:sz w:val="28"/>
          <w:szCs w:val="28"/>
        </w:rPr>
        <w:fldChar w:fldCharType="separate"/>
      </w:r>
      <w:r>
        <w:rPr>
          <w:rFonts w:hint="default" w:ascii="FreeSerif" w:hAnsi="FreeSerif" w:eastAsia="方正楷体_GBK" w:cs="FreeSerif"/>
          <w:b w:val="0"/>
          <w:bCs w:val="0"/>
          <w:kern w:val="0"/>
          <w:sz w:val="28"/>
          <w:szCs w:val="28"/>
        </w:rPr>
        <w:t>（一）持续推进土壤污染防治攻坚行动</w:t>
      </w:r>
      <w:r>
        <w:rPr>
          <w:rFonts w:hint="default" w:ascii="FreeSerif" w:hAnsi="FreeSerif" w:eastAsia="方正楷体_GBK" w:cs="FreeSerif"/>
          <w:b w:val="0"/>
          <w:bCs w:val="0"/>
          <w:sz w:val="28"/>
          <w:szCs w:val="28"/>
        </w:rPr>
        <w:tab/>
      </w:r>
      <w:r>
        <w:rPr>
          <w:rFonts w:hint="default" w:ascii="FreeSerif" w:hAnsi="FreeSerif" w:eastAsia="方正楷体_GBK" w:cs="FreeSerif"/>
          <w:b w:val="0"/>
          <w:bCs w:val="0"/>
          <w:sz w:val="28"/>
          <w:szCs w:val="28"/>
        </w:rPr>
        <w:fldChar w:fldCharType="begin"/>
      </w:r>
      <w:r>
        <w:rPr>
          <w:rFonts w:hint="default" w:ascii="FreeSerif" w:hAnsi="FreeSerif" w:eastAsia="方正楷体_GBK" w:cs="FreeSerif"/>
          <w:b w:val="0"/>
          <w:bCs w:val="0"/>
          <w:sz w:val="28"/>
          <w:szCs w:val="28"/>
        </w:rPr>
        <w:instrText xml:space="preserve"> PAGEREF _Toc1440799583 </w:instrText>
      </w:r>
      <w:r>
        <w:rPr>
          <w:rFonts w:hint="default" w:ascii="FreeSerif" w:hAnsi="FreeSerif" w:eastAsia="方正楷体_GBK" w:cs="FreeSerif"/>
          <w:b w:val="0"/>
          <w:bCs w:val="0"/>
          <w:sz w:val="28"/>
          <w:szCs w:val="28"/>
        </w:rPr>
        <w:fldChar w:fldCharType="separate"/>
      </w:r>
      <w:r>
        <w:rPr>
          <w:rFonts w:hint="default" w:ascii="FreeSerif" w:hAnsi="FreeSerif" w:eastAsia="方正楷体_GBK" w:cs="FreeSerif"/>
          <w:b w:val="0"/>
          <w:bCs w:val="0"/>
          <w:sz w:val="28"/>
          <w:szCs w:val="28"/>
        </w:rPr>
        <w:t>10</w:t>
      </w:r>
      <w:r>
        <w:rPr>
          <w:rFonts w:hint="default" w:ascii="FreeSerif" w:hAnsi="FreeSerif" w:eastAsia="方正楷体_GBK" w:cs="FreeSerif"/>
          <w:b w:val="0"/>
          <w:bCs w:val="0"/>
          <w:sz w:val="28"/>
          <w:szCs w:val="28"/>
        </w:rPr>
        <w:fldChar w:fldCharType="end"/>
      </w:r>
      <w:r>
        <w:rPr>
          <w:rFonts w:hint="default" w:ascii="FreeSerif" w:hAnsi="FreeSerif" w:eastAsia="方正楷体_GBK" w:cs="FreeSerif"/>
          <w:b w:val="0"/>
          <w:bCs w:val="0"/>
          <w:color w:val="auto"/>
          <w:sz w:val="28"/>
          <w:szCs w:val="28"/>
        </w:rPr>
        <w:fldChar w:fldCharType="end"/>
      </w:r>
    </w:p>
    <w:p>
      <w:pPr>
        <w:pStyle w:val="9"/>
        <w:keepNext w:val="0"/>
        <w:keepLines w:val="0"/>
        <w:pageBreakBefore w:val="0"/>
        <w:widowControl w:val="0"/>
        <w:tabs>
          <w:tab w:val="right" w:leader="dot" w:pos="8838"/>
        </w:tabs>
        <w:kinsoku/>
        <w:wordWrap/>
        <w:overflowPunct w:val="0"/>
        <w:topLinePunct w:val="0"/>
        <w:autoSpaceDE/>
        <w:autoSpaceDN/>
        <w:bidi w:val="0"/>
        <w:adjustRightInd/>
        <w:snapToGrid/>
        <w:spacing w:line="500" w:lineRule="exact"/>
        <w:ind w:left="0" w:leftChars="0" w:firstLine="420" w:firstLineChars="150"/>
        <w:textAlignment w:val="auto"/>
        <w:rPr>
          <w:rFonts w:hint="default" w:ascii="FreeSerif" w:hAnsi="FreeSerif" w:eastAsia="方正楷体_GBK" w:cs="FreeSerif"/>
          <w:b w:val="0"/>
          <w:bCs w:val="0"/>
          <w:sz w:val="28"/>
          <w:szCs w:val="28"/>
        </w:rPr>
      </w:pPr>
      <w:r>
        <w:rPr>
          <w:rFonts w:hint="default" w:ascii="FreeSerif" w:hAnsi="FreeSerif" w:eastAsia="方正楷体_GBK" w:cs="FreeSerif"/>
          <w:b w:val="0"/>
          <w:bCs w:val="0"/>
          <w:color w:val="auto"/>
          <w:sz w:val="28"/>
          <w:szCs w:val="28"/>
        </w:rPr>
        <w:fldChar w:fldCharType="begin"/>
      </w:r>
      <w:r>
        <w:rPr>
          <w:rFonts w:hint="default" w:ascii="FreeSerif" w:hAnsi="FreeSerif" w:eastAsia="方正楷体_GBK" w:cs="FreeSerif"/>
          <w:b w:val="0"/>
          <w:bCs w:val="0"/>
          <w:sz w:val="28"/>
          <w:szCs w:val="28"/>
        </w:rPr>
        <w:instrText xml:space="preserve"> HYPERLINK \l _Toc453013761 </w:instrText>
      </w:r>
      <w:r>
        <w:rPr>
          <w:rFonts w:hint="default" w:ascii="FreeSerif" w:hAnsi="FreeSerif" w:eastAsia="方正楷体_GBK" w:cs="FreeSerif"/>
          <w:b w:val="0"/>
          <w:bCs w:val="0"/>
          <w:sz w:val="28"/>
          <w:szCs w:val="28"/>
        </w:rPr>
        <w:fldChar w:fldCharType="separate"/>
      </w:r>
      <w:r>
        <w:rPr>
          <w:rFonts w:hint="default" w:ascii="FreeSerif" w:hAnsi="FreeSerif" w:eastAsia="方正楷体_GBK" w:cs="FreeSerif"/>
          <w:b w:val="0"/>
          <w:bCs w:val="0"/>
          <w:kern w:val="0"/>
          <w:sz w:val="28"/>
          <w:szCs w:val="28"/>
        </w:rPr>
        <w:t>（二）加强地下水污染防治</w:t>
      </w:r>
      <w:r>
        <w:rPr>
          <w:rFonts w:hint="default" w:ascii="FreeSerif" w:hAnsi="FreeSerif" w:eastAsia="方正楷体_GBK" w:cs="FreeSerif"/>
          <w:b w:val="0"/>
          <w:bCs w:val="0"/>
          <w:sz w:val="28"/>
          <w:szCs w:val="28"/>
        </w:rPr>
        <w:tab/>
      </w:r>
      <w:r>
        <w:rPr>
          <w:rFonts w:hint="default" w:ascii="FreeSerif" w:hAnsi="FreeSerif" w:eastAsia="方正楷体_GBK" w:cs="FreeSerif"/>
          <w:b w:val="0"/>
          <w:bCs w:val="0"/>
          <w:sz w:val="28"/>
          <w:szCs w:val="28"/>
        </w:rPr>
        <w:fldChar w:fldCharType="begin"/>
      </w:r>
      <w:r>
        <w:rPr>
          <w:rFonts w:hint="default" w:ascii="FreeSerif" w:hAnsi="FreeSerif" w:eastAsia="方正楷体_GBK" w:cs="FreeSerif"/>
          <w:b w:val="0"/>
          <w:bCs w:val="0"/>
          <w:sz w:val="28"/>
          <w:szCs w:val="28"/>
        </w:rPr>
        <w:instrText xml:space="preserve"> PAGEREF _Toc453013761 </w:instrText>
      </w:r>
      <w:r>
        <w:rPr>
          <w:rFonts w:hint="default" w:ascii="FreeSerif" w:hAnsi="FreeSerif" w:eastAsia="方正楷体_GBK" w:cs="FreeSerif"/>
          <w:b w:val="0"/>
          <w:bCs w:val="0"/>
          <w:sz w:val="28"/>
          <w:szCs w:val="28"/>
        </w:rPr>
        <w:fldChar w:fldCharType="separate"/>
      </w:r>
      <w:r>
        <w:rPr>
          <w:rFonts w:hint="default" w:ascii="FreeSerif" w:hAnsi="FreeSerif" w:eastAsia="方正楷体_GBK" w:cs="FreeSerif"/>
          <w:b w:val="0"/>
          <w:bCs w:val="0"/>
          <w:sz w:val="28"/>
          <w:szCs w:val="28"/>
        </w:rPr>
        <w:t>18</w:t>
      </w:r>
      <w:r>
        <w:rPr>
          <w:rFonts w:hint="default" w:ascii="FreeSerif" w:hAnsi="FreeSerif" w:eastAsia="方正楷体_GBK" w:cs="FreeSerif"/>
          <w:b w:val="0"/>
          <w:bCs w:val="0"/>
          <w:sz w:val="28"/>
          <w:szCs w:val="28"/>
        </w:rPr>
        <w:fldChar w:fldCharType="end"/>
      </w:r>
      <w:r>
        <w:rPr>
          <w:rFonts w:hint="default" w:ascii="FreeSerif" w:hAnsi="FreeSerif" w:eastAsia="方正楷体_GBK" w:cs="FreeSerif"/>
          <w:b w:val="0"/>
          <w:bCs w:val="0"/>
          <w:color w:val="auto"/>
          <w:sz w:val="28"/>
          <w:szCs w:val="28"/>
        </w:rPr>
        <w:fldChar w:fldCharType="end"/>
      </w:r>
    </w:p>
    <w:p>
      <w:pPr>
        <w:pStyle w:val="9"/>
        <w:keepNext w:val="0"/>
        <w:keepLines w:val="0"/>
        <w:pageBreakBefore w:val="0"/>
        <w:widowControl w:val="0"/>
        <w:tabs>
          <w:tab w:val="right" w:leader="dot" w:pos="8838"/>
        </w:tabs>
        <w:kinsoku/>
        <w:wordWrap/>
        <w:overflowPunct w:val="0"/>
        <w:topLinePunct w:val="0"/>
        <w:autoSpaceDE/>
        <w:autoSpaceDN/>
        <w:bidi w:val="0"/>
        <w:adjustRightInd/>
        <w:snapToGrid/>
        <w:spacing w:line="500" w:lineRule="exact"/>
        <w:ind w:left="0" w:leftChars="0" w:firstLine="420" w:firstLineChars="150"/>
        <w:textAlignment w:val="auto"/>
        <w:rPr>
          <w:rFonts w:hint="default" w:ascii="FreeSerif" w:hAnsi="FreeSerif" w:eastAsia="方正楷体_GBK" w:cs="FreeSerif"/>
          <w:b w:val="0"/>
          <w:bCs w:val="0"/>
          <w:sz w:val="28"/>
          <w:szCs w:val="28"/>
        </w:rPr>
      </w:pPr>
      <w:r>
        <w:rPr>
          <w:rFonts w:hint="default" w:ascii="FreeSerif" w:hAnsi="FreeSerif" w:eastAsia="方正楷体_GBK" w:cs="FreeSerif"/>
          <w:b w:val="0"/>
          <w:bCs w:val="0"/>
          <w:color w:val="auto"/>
          <w:sz w:val="28"/>
          <w:szCs w:val="28"/>
        </w:rPr>
        <w:fldChar w:fldCharType="begin"/>
      </w:r>
      <w:r>
        <w:rPr>
          <w:rFonts w:hint="default" w:ascii="FreeSerif" w:hAnsi="FreeSerif" w:eastAsia="方正楷体_GBK" w:cs="FreeSerif"/>
          <w:b w:val="0"/>
          <w:bCs w:val="0"/>
          <w:sz w:val="28"/>
          <w:szCs w:val="28"/>
        </w:rPr>
        <w:instrText xml:space="preserve"> HYPERLINK \l _Toc1709971140 </w:instrText>
      </w:r>
      <w:r>
        <w:rPr>
          <w:rFonts w:hint="default" w:ascii="FreeSerif" w:hAnsi="FreeSerif" w:eastAsia="方正楷体_GBK" w:cs="FreeSerif"/>
          <w:b w:val="0"/>
          <w:bCs w:val="0"/>
          <w:sz w:val="28"/>
          <w:szCs w:val="28"/>
        </w:rPr>
        <w:fldChar w:fldCharType="separate"/>
      </w:r>
      <w:r>
        <w:rPr>
          <w:rFonts w:hint="default" w:ascii="FreeSerif" w:hAnsi="FreeSerif" w:eastAsia="方正楷体_GBK" w:cs="FreeSerif"/>
          <w:b w:val="0"/>
          <w:bCs w:val="0"/>
          <w:sz w:val="28"/>
          <w:szCs w:val="28"/>
        </w:rPr>
        <w:t>（三）深化农业农村环境治理</w:t>
      </w:r>
      <w:r>
        <w:rPr>
          <w:rFonts w:hint="default" w:ascii="FreeSerif" w:hAnsi="FreeSerif" w:eastAsia="方正楷体_GBK" w:cs="FreeSerif"/>
          <w:b w:val="0"/>
          <w:bCs w:val="0"/>
          <w:sz w:val="28"/>
          <w:szCs w:val="28"/>
        </w:rPr>
        <w:tab/>
      </w:r>
      <w:r>
        <w:rPr>
          <w:rFonts w:hint="default" w:ascii="FreeSerif" w:hAnsi="FreeSerif" w:eastAsia="方正楷体_GBK" w:cs="FreeSerif"/>
          <w:b w:val="0"/>
          <w:bCs w:val="0"/>
          <w:sz w:val="28"/>
          <w:szCs w:val="28"/>
        </w:rPr>
        <w:fldChar w:fldCharType="begin"/>
      </w:r>
      <w:r>
        <w:rPr>
          <w:rFonts w:hint="default" w:ascii="FreeSerif" w:hAnsi="FreeSerif" w:eastAsia="方正楷体_GBK" w:cs="FreeSerif"/>
          <w:b w:val="0"/>
          <w:bCs w:val="0"/>
          <w:sz w:val="28"/>
          <w:szCs w:val="28"/>
        </w:rPr>
        <w:instrText xml:space="preserve"> PAGEREF _Toc1709971140 </w:instrText>
      </w:r>
      <w:r>
        <w:rPr>
          <w:rFonts w:hint="default" w:ascii="FreeSerif" w:hAnsi="FreeSerif" w:eastAsia="方正楷体_GBK" w:cs="FreeSerif"/>
          <w:b w:val="0"/>
          <w:bCs w:val="0"/>
          <w:sz w:val="28"/>
          <w:szCs w:val="28"/>
        </w:rPr>
        <w:fldChar w:fldCharType="separate"/>
      </w:r>
      <w:r>
        <w:rPr>
          <w:rFonts w:hint="default" w:ascii="FreeSerif" w:hAnsi="FreeSerif" w:eastAsia="方正楷体_GBK" w:cs="FreeSerif"/>
          <w:b w:val="0"/>
          <w:bCs w:val="0"/>
          <w:sz w:val="28"/>
          <w:szCs w:val="28"/>
        </w:rPr>
        <w:t>21</w:t>
      </w:r>
      <w:r>
        <w:rPr>
          <w:rFonts w:hint="default" w:ascii="FreeSerif" w:hAnsi="FreeSerif" w:eastAsia="方正楷体_GBK" w:cs="FreeSerif"/>
          <w:b w:val="0"/>
          <w:bCs w:val="0"/>
          <w:sz w:val="28"/>
          <w:szCs w:val="28"/>
        </w:rPr>
        <w:fldChar w:fldCharType="end"/>
      </w:r>
      <w:r>
        <w:rPr>
          <w:rFonts w:hint="default" w:ascii="FreeSerif" w:hAnsi="FreeSerif" w:eastAsia="方正楷体_GBK" w:cs="FreeSerif"/>
          <w:b w:val="0"/>
          <w:bCs w:val="0"/>
          <w:color w:val="auto"/>
          <w:sz w:val="28"/>
          <w:szCs w:val="28"/>
        </w:rPr>
        <w:fldChar w:fldCharType="end"/>
      </w:r>
    </w:p>
    <w:p>
      <w:pPr>
        <w:pStyle w:val="9"/>
        <w:keepNext w:val="0"/>
        <w:keepLines w:val="0"/>
        <w:pageBreakBefore w:val="0"/>
        <w:widowControl w:val="0"/>
        <w:tabs>
          <w:tab w:val="right" w:leader="dot" w:pos="8838"/>
        </w:tabs>
        <w:kinsoku/>
        <w:wordWrap/>
        <w:overflowPunct w:val="0"/>
        <w:topLinePunct w:val="0"/>
        <w:autoSpaceDE/>
        <w:autoSpaceDN/>
        <w:bidi w:val="0"/>
        <w:adjustRightInd/>
        <w:snapToGrid/>
        <w:spacing w:line="500" w:lineRule="exact"/>
        <w:ind w:left="0" w:leftChars="0" w:firstLine="420" w:firstLineChars="150"/>
        <w:textAlignment w:val="auto"/>
        <w:rPr>
          <w:rFonts w:hint="default" w:ascii="FreeSerif" w:hAnsi="FreeSerif" w:cs="FreeSerif"/>
          <w:b w:val="0"/>
          <w:bCs w:val="0"/>
          <w:sz w:val="28"/>
          <w:szCs w:val="28"/>
        </w:rPr>
      </w:pPr>
      <w:r>
        <w:rPr>
          <w:rFonts w:hint="default" w:ascii="FreeSerif" w:hAnsi="FreeSerif" w:eastAsia="方正楷体_GBK" w:cs="FreeSerif"/>
          <w:b w:val="0"/>
          <w:bCs w:val="0"/>
          <w:color w:val="auto"/>
          <w:sz w:val="28"/>
          <w:szCs w:val="28"/>
        </w:rPr>
        <w:fldChar w:fldCharType="begin"/>
      </w:r>
      <w:r>
        <w:rPr>
          <w:rFonts w:hint="default" w:ascii="FreeSerif" w:hAnsi="FreeSerif" w:eastAsia="方正楷体_GBK" w:cs="FreeSerif"/>
          <w:b w:val="0"/>
          <w:bCs w:val="0"/>
          <w:sz w:val="28"/>
          <w:szCs w:val="28"/>
        </w:rPr>
        <w:instrText xml:space="preserve"> HYPERLINK \l _Toc510437093 </w:instrText>
      </w:r>
      <w:r>
        <w:rPr>
          <w:rFonts w:hint="default" w:ascii="FreeSerif" w:hAnsi="FreeSerif" w:eastAsia="方正楷体_GBK" w:cs="FreeSerif"/>
          <w:b w:val="0"/>
          <w:bCs w:val="0"/>
          <w:sz w:val="28"/>
          <w:szCs w:val="28"/>
        </w:rPr>
        <w:fldChar w:fldCharType="separate"/>
      </w:r>
      <w:r>
        <w:rPr>
          <w:rFonts w:hint="default" w:ascii="FreeSerif" w:hAnsi="FreeSerif" w:eastAsia="方正楷体_GBK" w:cs="FreeSerif"/>
          <w:b w:val="0"/>
          <w:bCs w:val="0"/>
          <w:kern w:val="0"/>
          <w:sz w:val="28"/>
          <w:szCs w:val="28"/>
        </w:rPr>
        <w:t>（四）提升生态环境监管能力</w:t>
      </w:r>
      <w:r>
        <w:rPr>
          <w:rFonts w:hint="default" w:ascii="FreeSerif" w:hAnsi="FreeSerif" w:eastAsia="方正楷体_GBK" w:cs="FreeSerif"/>
          <w:b w:val="0"/>
          <w:bCs w:val="0"/>
          <w:sz w:val="28"/>
          <w:szCs w:val="28"/>
        </w:rPr>
        <w:tab/>
      </w:r>
      <w:r>
        <w:rPr>
          <w:rFonts w:hint="default" w:ascii="FreeSerif" w:hAnsi="FreeSerif" w:eastAsia="方正楷体_GBK" w:cs="FreeSerif"/>
          <w:b w:val="0"/>
          <w:bCs w:val="0"/>
          <w:sz w:val="28"/>
          <w:szCs w:val="28"/>
        </w:rPr>
        <w:fldChar w:fldCharType="begin"/>
      </w:r>
      <w:r>
        <w:rPr>
          <w:rFonts w:hint="default" w:ascii="FreeSerif" w:hAnsi="FreeSerif" w:eastAsia="方正楷体_GBK" w:cs="FreeSerif"/>
          <w:b w:val="0"/>
          <w:bCs w:val="0"/>
          <w:sz w:val="28"/>
          <w:szCs w:val="28"/>
        </w:rPr>
        <w:instrText xml:space="preserve"> PAGEREF _Toc510437093 </w:instrText>
      </w:r>
      <w:r>
        <w:rPr>
          <w:rFonts w:hint="default" w:ascii="FreeSerif" w:hAnsi="FreeSerif" w:eastAsia="方正楷体_GBK" w:cs="FreeSerif"/>
          <w:b w:val="0"/>
          <w:bCs w:val="0"/>
          <w:sz w:val="28"/>
          <w:szCs w:val="28"/>
        </w:rPr>
        <w:fldChar w:fldCharType="separate"/>
      </w:r>
      <w:r>
        <w:rPr>
          <w:rFonts w:hint="default" w:ascii="FreeSerif" w:hAnsi="FreeSerif" w:eastAsia="方正楷体_GBK" w:cs="FreeSerif"/>
          <w:b w:val="0"/>
          <w:bCs w:val="0"/>
          <w:sz w:val="28"/>
          <w:szCs w:val="28"/>
        </w:rPr>
        <w:t>26</w:t>
      </w:r>
      <w:r>
        <w:rPr>
          <w:rFonts w:hint="default" w:ascii="FreeSerif" w:hAnsi="FreeSerif" w:eastAsia="方正楷体_GBK" w:cs="FreeSerif"/>
          <w:b w:val="0"/>
          <w:bCs w:val="0"/>
          <w:sz w:val="28"/>
          <w:szCs w:val="28"/>
        </w:rPr>
        <w:fldChar w:fldCharType="end"/>
      </w:r>
      <w:r>
        <w:rPr>
          <w:rFonts w:hint="default" w:ascii="FreeSerif" w:hAnsi="FreeSerif" w:eastAsia="方正楷体_GBK" w:cs="FreeSerif"/>
          <w:b w:val="0"/>
          <w:bCs w:val="0"/>
          <w:color w:val="auto"/>
          <w:sz w:val="28"/>
          <w:szCs w:val="28"/>
        </w:rPr>
        <w:fldChar w:fldCharType="end"/>
      </w:r>
    </w:p>
    <w:p>
      <w:pPr>
        <w:pStyle w:val="8"/>
        <w:keepNext w:val="0"/>
        <w:keepLines w:val="0"/>
        <w:pageBreakBefore w:val="0"/>
        <w:widowControl w:val="0"/>
        <w:tabs>
          <w:tab w:val="right" w:leader="dot" w:pos="8838"/>
        </w:tabs>
        <w:kinsoku/>
        <w:wordWrap/>
        <w:overflowPunct w:val="0"/>
        <w:topLinePunct w:val="0"/>
        <w:autoSpaceDE/>
        <w:autoSpaceDN/>
        <w:bidi w:val="0"/>
        <w:adjustRightInd/>
        <w:snapToGrid/>
        <w:spacing w:line="500" w:lineRule="exact"/>
        <w:textAlignment w:val="auto"/>
        <w:rPr>
          <w:rFonts w:hint="default" w:ascii="FreeSerif" w:hAnsi="FreeSerif" w:cs="FreeSerif"/>
          <w:b w:val="0"/>
          <w:bCs w:val="0"/>
          <w:sz w:val="28"/>
          <w:szCs w:val="28"/>
        </w:rPr>
      </w:pPr>
      <w:r>
        <w:rPr>
          <w:rFonts w:hint="default" w:ascii="FreeSerif" w:hAnsi="FreeSerif" w:eastAsia="方正仿宋_GBK" w:cs="FreeSerif"/>
          <w:b w:val="0"/>
          <w:bCs w:val="0"/>
          <w:color w:val="auto"/>
          <w:sz w:val="28"/>
          <w:szCs w:val="28"/>
        </w:rPr>
        <w:fldChar w:fldCharType="begin"/>
      </w:r>
      <w:r>
        <w:rPr>
          <w:rFonts w:hint="default" w:ascii="FreeSerif" w:hAnsi="FreeSerif" w:eastAsia="方正仿宋_GBK" w:cs="FreeSerif"/>
          <w:b w:val="0"/>
          <w:bCs w:val="0"/>
          <w:sz w:val="28"/>
          <w:szCs w:val="28"/>
        </w:rPr>
        <w:instrText xml:space="preserve"> HYPERLINK \l _Toc910211291 </w:instrText>
      </w:r>
      <w:r>
        <w:rPr>
          <w:rFonts w:hint="default" w:ascii="FreeSerif" w:hAnsi="FreeSerif" w:eastAsia="方正仿宋_GBK" w:cs="FreeSerif"/>
          <w:b w:val="0"/>
          <w:bCs w:val="0"/>
          <w:sz w:val="28"/>
          <w:szCs w:val="28"/>
        </w:rPr>
        <w:fldChar w:fldCharType="separate"/>
      </w:r>
      <w:r>
        <w:rPr>
          <w:rFonts w:hint="default" w:ascii="FreeSerif" w:hAnsi="FreeSerif" w:eastAsia="方正黑体_GBK" w:cs="FreeSerif"/>
          <w:b w:val="0"/>
          <w:bCs w:val="0"/>
          <w:kern w:val="44"/>
          <w:sz w:val="28"/>
          <w:szCs w:val="28"/>
        </w:rPr>
        <w:t>四、保障措施</w:t>
      </w:r>
      <w:r>
        <w:rPr>
          <w:rFonts w:hint="default" w:ascii="FreeSerif" w:hAnsi="FreeSerif" w:cs="FreeSerif"/>
          <w:b w:val="0"/>
          <w:bCs w:val="0"/>
          <w:sz w:val="28"/>
          <w:szCs w:val="28"/>
        </w:rPr>
        <w:tab/>
      </w:r>
      <w:r>
        <w:rPr>
          <w:rFonts w:hint="default" w:ascii="FreeSerif" w:hAnsi="FreeSerif" w:cs="FreeSerif"/>
          <w:b w:val="0"/>
          <w:bCs w:val="0"/>
          <w:sz w:val="28"/>
          <w:szCs w:val="28"/>
        </w:rPr>
        <w:fldChar w:fldCharType="begin"/>
      </w:r>
      <w:r>
        <w:rPr>
          <w:rFonts w:hint="default" w:ascii="FreeSerif" w:hAnsi="FreeSerif" w:cs="FreeSerif"/>
          <w:b w:val="0"/>
          <w:bCs w:val="0"/>
          <w:sz w:val="28"/>
          <w:szCs w:val="28"/>
        </w:rPr>
        <w:instrText xml:space="preserve"> PAGEREF _Toc910211291 </w:instrText>
      </w:r>
      <w:r>
        <w:rPr>
          <w:rFonts w:hint="default" w:ascii="FreeSerif" w:hAnsi="FreeSerif" w:cs="FreeSerif"/>
          <w:b w:val="0"/>
          <w:bCs w:val="0"/>
          <w:sz w:val="28"/>
          <w:szCs w:val="28"/>
        </w:rPr>
        <w:fldChar w:fldCharType="separate"/>
      </w:r>
      <w:r>
        <w:rPr>
          <w:rFonts w:hint="default" w:ascii="FreeSerif" w:hAnsi="FreeSerif" w:cs="FreeSerif"/>
          <w:b w:val="0"/>
          <w:bCs w:val="0"/>
          <w:sz w:val="28"/>
          <w:szCs w:val="28"/>
        </w:rPr>
        <w:t>28</w:t>
      </w:r>
      <w:r>
        <w:rPr>
          <w:rFonts w:hint="default" w:ascii="FreeSerif" w:hAnsi="FreeSerif" w:cs="FreeSerif"/>
          <w:b w:val="0"/>
          <w:bCs w:val="0"/>
          <w:sz w:val="28"/>
          <w:szCs w:val="28"/>
        </w:rPr>
        <w:fldChar w:fldCharType="end"/>
      </w:r>
      <w:r>
        <w:rPr>
          <w:rFonts w:hint="default" w:ascii="FreeSerif" w:hAnsi="FreeSerif" w:eastAsia="方正仿宋_GBK" w:cs="FreeSerif"/>
          <w:b w:val="0"/>
          <w:bCs w:val="0"/>
          <w:color w:val="auto"/>
          <w:sz w:val="28"/>
          <w:szCs w:val="28"/>
        </w:rPr>
        <w:fldChar w:fldCharType="end"/>
      </w:r>
    </w:p>
    <w:p>
      <w:pPr>
        <w:pStyle w:val="9"/>
        <w:keepNext w:val="0"/>
        <w:keepLines w:val="0"/>
        <w:pageBreakBefore w:val="0"/>
        <w:widowControl w:val="0"/>
        <w:tabs>
          <w:tab w:val="right" w:leader="dot" w:pos="8838"/>
        </w:tabs>
        <w:kinsoku/>
        <w:wordWrap/>
        <w:overflowPunct w:val="0"/>
        <w:topLinePunct w:val="0"/>
        <w:autoSpaceDE/>
        <w:autoSpaceDN/>
        <w:bidi w:val="0"/>
        <w:adjustRightInd/>
        <w:snapToGrid/>
        <w:spacing w:line="500" w:lineRule="exact"/>
        <w:ind w:left="0" w:leftChars="0" w:firstLine="420" w:firstLineChars="150"/>
        <w:textAlignment w:val="auto"/>
        <w:rPr>
          <w:rFonts w:hint="default" w:ascii="FreeSerif" w:hAnsi="FreeSerif" w:eastAsia="方正楷体_GBK" w:cs="FreeSerif"/>
          <w:b w:val="0"/>
          <w:bCs w:val="0"/>
          <w:sz w:val="28"/>
          <w:szCs w:val="28"/>
        </w:rPr>
      </w:pPr>
      <w:r>
        <w:rPr>
          <w:rFonts w:hint="default" w:ascii="FreeSerif" w:hAnsi="FreeSerif" w:eastAsia="方正楷体_GBK" w:cs="FreeSerif"/>
          <w:b w:val="0"/>
          <w:bCs w:val="0"/>
          <w:color w:val="auto"/>
          <w:sz w:val="28"/>
          <w:szCs w:val="28"/>
        </w:rPr>
        <w:fldChar w:fldCharType="begin"/>
      </w:r>
      <w:r>
        <w:rPr>
          <w:rFonts w:hint="default" w:ascii="FreeSerif" w:hAnsi="FreeSerif" w:eastAsia="方正楷体_GBK" w:cs="FreeSerif"/>
          <w:b w:val="0"/>
          <w:bCs w:val="0"/>
          <w:sz w:val="28"/>
          <w:szCs w:val="28"/>
        </w:rPr>
        <w:instrText xml:space="preserve"> HYPERLINK \l _Toc293668412 </w:instrText>
      </w:r>
      <w:r>
        <w:rPr>
          <w:rFonts w:hint="default" w:ascii="FreeSerif" w:hAnsi="FreeSerif" w:eastAsia="方正楷体_GBK" w:cs="FreeSerif"/>
          <w:b w:val="0"/>
          <w:bCs w:val="0"/>
          <w:sz w:val="28"/>
          <w:szCs w:val="28"/>
        </w:rPr>
        <w:fldChar w:fldCharType="separate"/>
      </w:r>
      <w:r>
        <w:rPr>
          <w:rFonts w:hint="default" w:ascii="FreeSerif" w:hAnsi="FreeSerif" w:eastAsia="方正楷体_GBK" w:cs="FreeSerif"/>
          <w:b w:val="0"/>
          <w:bCs w:val="0"/>
          <w:snapToGrid/>
          <w:kern w:val="2"/>
          <w:sz w:val="28"/>
          <w:szCs w:val="28"/>
          <w:lang w:val="en-US" w:eastAsia="zh-CN" w:bidi="ar"/>
        </w:rPr>
        <w:t>（一）加强组织领导</w:t>
      </w:r>
      <w:r>
        <w:rPr>
          <w:rFonts w:hint="default" w:ascii="FreeSerif" w:hAnsi="FreeSerif" w:eastAsia="方正楷体_GBK" w:cs="FreeSerif"/>
          <w:b w:val="0"/>
          <w:bCs w:val="0"/>
          <w:sz w:val="28"/>
          <w:szCs w:val="28"/>
        </w:rPr>
        <w:tab/>
      </w:r>
      <w:r>
        <w:rPr>
          <w:rFonts w:hint="default" w:ascii="FreeSerif" w:hAnsi="FreeSerif" w:eastAsia="方正楷体_GBK" w:cs="FreeSerif"/>
          <w:b w:val="0"/>
          <w:bCs w:val="0"/>
          <w:sz w:val="28"/>
          <w:szCs w:val="28"/>
        </w:rPr>
        <w:fldChar w:fldCharType="begin"/>
      </w:r>
      <w:r>
        <w:rPr>
          <w:rFonts w:hint="default" w:ascii="FreeSerif" w:hAnsi="FreeSerif" w:eastAsia="方正楷体_GBK" w:cs="FreeSerif"/>
          <w:b w:val="0"/>
          <w:bCs w:val="0"/>
          <w:sz w:val="28"/>
          <w:szCs w:val="28"/>
        </w:rPr>
        <w:instrText xml:space="preserve"> PAGEREF _Toc293668412 </w:instrText>
      </w:r>
      <w:r>
        <w:rPr>
          <w:rFonts w:hint="default" w:ascii="FreeSerif" w:hAnsi="FreeSerif" w:eastAsia="方正楷体_GBK" w:cs="FreeSerif"/>
          <w:b w:val="0"/>
          <w:bCs w:val="0"/>
          <w:sz w:val="28"/>
          <w:szCs w:val="28"/>
        </w:rPr>
        <w:fldChar w:fldCharType="separate"/>
      </w:r>
      <w:r>
        <w:rPr>
          <w:rFonts w:hint="default" w:ascii="FreeSerif" w:hAnsi="FreeSerif" w:eastAsia="方正楷体_GBK" w:cs="FreeSerif"/>
          <w:b w:val="0"/>
          <w:bCs w:val="0"/>
          <w:sz w:val="28"/>
          <w:szCs w:val="28"/>
        </w:rPr>
        <w:t>28</w:t>
      </w:r>
      <w:r>
        <w:rPr>
          <w:rFonts w:hint="default" w:ascii="FreeSerif" w:hAnsi="FreeSerif" w:eastAsia="方正楷体_GBK" w:cs="FreeSerif"/>
          <w:b w:val="0"/>
          <w:bCs w:val="0"/>
          <w:sz w:val="28"/>
          <w:szCs w:val="28"/>
        </w:rPr>
        <w:fldChar w:fldCharType="end"/>
      </w:r>
      <w:r>
        <w:rPr>
          <w:rFonts w:hint="default" w:ascii="FreeSerif" w:hAnsi="FreeSerif" w:eastAsia="方正楷体_GBK" w:cs="FreeSerif"/>
          <w:b w:val="0"/>
          <w:bCs w:val="0"/>
          <w:color w:val="auto"/>
          <w:sz w:val="28"/>
          <w:szCs w:val="28"/>
        </w:rPr>
        <w:fldChar w:fldCharType="end"/>
      </w:r>
    </w:p>
    <w:p>
      <w:pPr>
        <w:pStyle w:val="9"/>
        <w:keepNext w:val="0"/>
        <w:keepLines w:val="0"/>
        <w:pageBreakBefore w:val="0"/>
        <w:widowControl w:val="0"/>
        <w:tabs>
          <w:tab w:val="right" w:leader="dot" w:pos="8838"/>
        </w:tabs>
        <w:kinsoku/>
        <w:wordWrap/>
        <w:overflowPunct w:val="0"/>
        <w:topLinePunct w:val="0"/>
        <w:autoSpaceDE/>
        <w:autoSpaceDN/>
        <w:bidi w:val="0"/>
        <w:adjustRightInd/>
        <w:snapToGrid/>
        <w:spacing w:line="500" w:lineRule="exact"/>
        <w:ind w:left="0" w:leftChars="0" w:firstLine="420" w:firstLineChars="150"/>
        <w:textAlignment w:val="auto"/>
        <w:rPr>
          <w:rFonts w:hint="default" w:ascii="FreeSerif" w:hAnsi="FreeSerif" w:eastAsia="方正楷体_GBK" w:cs="FreeSerif"/>
          <w:b w:val="0"/>
          <w:bCs w:val="0"/>
          <w:sz w:val="28"/>
          <w:szCs w:val="28"/>
        </w:rPr>
      </w:pPr>
      <w:r>
        <w:rPr>
          <w:rFonts w:hint="default" w:ascii="FreeSerif" w:hAnsi="FreeSerif" w:eastAsia="方正楷体_GBK" w:cs="FreeSerif"/>
          <w:b w:val="0"/>
          <w:bCs w:val="0"/>
          <w:color w:val="auto"/>
          <w:sz w:val="28"/>
          <w:szCs w:val="28"/>
        </w:rPr>
        <w:fldChar w:fldCharType="begin"/>
      </w:r>
      <w:r>
        <w:rPr>
          <w:rFonts w:hint="default" w:ascii="FreeSerif" w:hAnsi="FreeSerif" w:eastAsia="方正楷体_GBK" w:cs="FreeSerif"/>
          <w:b w:val="0"/>
          <w:bCs w:val="0"/>
          <w:sz w:val="28"/>
          <w:szCs w:val="28"/>
        </w:rPr>
        <w:instrText xml:space="preserve"> HYPERLINK \l _Toc1668450299 </w:instrText>
      </w:r>
      <w:r>
        <w:rPr>
          <w:rFonts w:hint="default" w:ascii="FreeSerif" w:hAnsi="FreeSerif" w:eastAsia="方正楷体_GBK" w:cs="FreeSerif"/>
          <w:b w:val="0"/>
          <w:bCs w:val="0"/>
          <w:sz w:val="28"/>
          <w:szCs w:val="28"/>
        </w:rPr>
        <w:fldChar w:fldCharType="separate"/>
      </w:r>
      <w:r>
        <w:rPr>
          <w:rFonts w:hint="default" w:ascii="FreeSerif" w:hAnsi="FreeSerif" w:eastAsia="方正楷体_GBK" w:cs="FreeSerif"/>
          <w:b w:val="0"/>
          <w:bCs w:val="0"/>
          <w:snapToGrid/>
          <w:kern w:val="2"/>
          <w:sz w:val="28"/>
          <w:szCs w:val="28"/>
          <w:lang w:val="en-US" w:eastAsia="zh-CN" w:bidi="ar"/>
        </w:rPr>
        <w:t>（二）加大资金投入</w:t>
      </w:r>
      <w:r>
        <w:rPr>
          <w:rFonts w:hint="default" w:ascii="FreeSerif" w:hAnsi="FreeSerif" w:eastAsia="方正楷体_GBK" w:cs="FreeSerif"/>
          <w:b w:val="0"/>
          <w:bCs w:val="0"/>
          <w:sz w:val="28"/>
          <w:szCs w:val="28"/>
        </w:rPr>
        <w:tab/>
      </w:r>
      <w:r>
        <w:rPr>
          <w:rFonts w:hint="default" w:ascii="FreeSerif" w:hAnsi="FreeSerif" w:eastAsia="方正楷体_GBK" w:cs="FreeSerif"/>
          <w:b w:val="0"/>
          <w:bCs w:val="0"/>
          <w:sz w:val="28"/>
          <w:szCs w:val="28"/>
        </w:rPr>
        <w:fldChar w:fldCharType="begin"/>
      </w:r>
      <w:r>
        <w:rPr>
          <w:rFonts w:hint="default" w:ascii="FreeSerif" w:hAnsi="FreeSerif" w:eastAsia="方正楷体_GBK" w:cs="FreeSerif"/>
          <w:b w:val="0"/>
          <w:bCs w:val="0"/>
          <w:sz w:val="28"/>
          <w:szCs w:val="28"/>
        </w:rPr>
        <w:instrText xml:space="preserve"> PAGEREF _Toc1668450299 </w:instrText>
      </w:r>
      <w:r>
        <w:rPr>
          <w:rFonts w:hint="default" w:ascii="FreeSerif" w:hAnsi="FreeSerif" w:eastAsia="方正楷体_GBK" w:cs="FreeSerif"/>
          <w:b w:val="0"/>
          <w:bCs w:val="0"/>
          <w:sz w:val="28"/>
          <w:szCs w:val="28"/>
        </w:rPr>
        <w:fldChar w:fldCharType="separate"/>
      </w:r>
      <w:r>
        <w:rPr>
          <w:rFonts w:hint="default" w:ascii="FreeSerif" w:hAnsi="FreeSerif" w:eastAsia="方正楷体_GBK" w:cs="FreeSerif"/>
          <w:b w:val="0"/>
          <w:bCs w:val="0"/>
          <w:sz w:val="28"/>
          <w:szCs w:val="28"/>
        </w:rPr>
        <w:t>29</w:t>
      </w:r>
      <w:r>
        <w:rPr>
          <w:rFonts w:hint="default" w:ascii="FreeSerif" w:hAnsi="FreeSerif" w:eastAsia="方正楷体_GBK" w:cs="FreeSerif"/>
          <w:b w:val="0"/>
          <w:bCs w:val="0"/>
          <w:sz w:val="28"/>
          <w:szCs w:val="28"/>
        </w:rPr>
        <w:fldChar w:fldCharType="end"/>
      </w:r>
      <w:r>
        <w:rPr>
          <w:rFonts w:hint="default" w:ascii="FreeSerif" w:hAnsi="FreeSerif" w:eastAsia="方正楷体_GBK" w:cs="FreeSerif"/>
          <w:b w:val="0"/>
          <w:bCs w:val="0"/>
          <w:color w:val="auto"/>
          <w:sz w:val="28"/>
          <w:szCs w:val="28"/>
        </w:rPr>
        <w:fldChar w:fldCharType="end"/>
      </w:r>
    </w:p>
    <w:p>
      <w:pPr>
        <w:pStyle w:val="9"/>
        <w:keepNext w:val="0"/>
        <w:keepLines w:val="0"/>
        <w:pageBreakBefore w:val="0"/>
        <w:widowControl w:val="0"/>
        <w:tabs>
          <w:tab w:val="right" w:leader="dot" w:pos="8838"/>
        </w:tabs>
        <w:kinsoku/>
        <w:wordWrap/>
        <w:overflowPunct w:val="0"/>
        <w:topLinePunct w:val="0"/>
        <w:autoSpaceDE/>
        <w:autoSpaceDN/>
        <w:bidi w:val="0"/>
        <w:adjustRightInd/>
        <w:snapToGrid/>
        <w:spacing w:line="500" w:lineRule="exact"/>
        <w:ind w:left="0" w:leftChars="0" w:firstLine="420" w:firstLineChars="150"/>
        <w:textAlignment w:val="auto"/>
        <w:rPr>
          <w:rFonts w:hint="default" w:ascii="FreeSerif" w:hAnsi="FreeSerif" w:eastAsia="方正楷体_GBK" w:cs="FreeSerif"/>
          <w:b w:val="0"/>
          <w:bCs w:val="0"/>
          <w:sz w:val="28"/>
          <w:szCs w:val="28"/>
        </w:rPr>
      </w:pPr>
      <w:r>
        <w:rPr>
          <w:rFonts w:hint="default" w:ascii="FreeSerif" w:hAnsi="FreeSerif" w:eastAsia="方正楷体_GBK" w:cs="FreeSerif"/>
          <w:b w:val="0"/>
          <w:bCs w:val="0"/>
          <w:color w:val="auto"/>
          <w:sz w:val="28"/>
          <w:szCs w:val="28"/>
        </w:rPr>
        <w:fldChar w:fldCharType="begin"/>
      </w:r>
      <w:r>
        <w:rPr>
          <w:rFonts w:hint="default" w:ascii="FreeSerif" w:hAnsi="FreeSerif" w:eastAsia="方正楷体_GBK" w:cs="FreeSerif"/>
          <w:b w:val="0"/>
          <w:bCs w:val="0"/>
          <w:sz w:val="28"/>
          <w:szCs w:val="28"/>
        </w:rPr>
        <w:instrText xml:space="preserve"> HYPERLINK \l _Toc2038549728 </w:instrText>
      </w:r>
      <w:r>
        <w:rPr>
          <w:rFonts w:hint="default" w:ascii="FreeSerif" w:hAnsi="FreeSerif" w:eastAsia="方正楷体_GBK" w:cs="FreeSerif"/>
          <w:b w:val="0"/>
          <w:bCs w:val="0"/>
          <w:sz w:val="28"/>
          <w:szCs w:val="28"/>
        </w:rPr>
        <w:fldChar w:fldCharType="separate"/>
      </w:r>
      <w:r>
        <w:rPr>
          <w:rFonts w:hint="default" w:ascii="FreeSerif" w:hAnsi="FreeSerif" w:eastAsia="方正楷体_GBK" w:cs="FreeSerif"/>
          <w:b w:val="0"/>
          <w:bCs w:val="0"/>
          <w:snapToGrid/>
          <w:kern w:val="2"/>
          <w:sz w:val="28"/>
          <w:szCs w:val="28"/>
          <w:lang w:val="en-US" w:eastAsia="zh-CN" w:bidi="ar"/>
        </w:rPr>
        <w:t>（三）加大宣传引导</w:t>
      </w:r>
      <w:r>
        <w:rPr>
          <w:rFonts w:hint="default" w:ascii="FreeSerif" w:hAnsi="FreeSerif" w:eastAsia="方正楷体_GBK" w:cs="FreeSerif"/>
          <w:b w:val="0"/>
          <w:bCs w:val="0"/>
          <w:sz w:val="28"/>
          <w:szCs w:val="28"/>
        </w:rPr>
        <w:tab/>
      </w:r>
      <w:r>
        <w:rPr>
          <w:rFonts w:hint="default" w:ascii="FreeSerif" w:hAnsi="FreeSerif" w:eastAsia="方正楷体_GBK" w:cs="FreeSerif"/>
          <w:b w:val="0"/>
          <w:bCs w:val="0"/>
          <w:sz w:val="28"/>
          <w:szCs w:val="28"/>
        </w:rPr>
        <w:fldChar w:fldCharType="begin"/>
      </w:r>
      <w:r>
        <w:rPr>
          <w:rFonts w:hint="default" w:ascii="FreeSerif" w:hAnsi="FreeSerif" w:eastAsia="方正楷体_GBK" w:cs="FreeSerif"/>
          <w:b w:val="0"/>
          <w:bCs w:val="0"/>
          <w:sz w:val="28"/>
          <w:szCs w:val="28"/>
        </w:rPr>
        <w:instrText xml:space="preserve"> PAGEREF _Toc2038549728 </w:instrText>
      </w:r>
      <w:r>
        <w:rPr>
          <w:rFonts w:hint="default" w:ascii="FreeSerif" w:hAnsi="FreeSerif" w:eastAsia="方正楷体_GBK" w:cs="FreeSerif"/>
          <w:b w:val="0"/>
          <w:bCs w:val="0"/>
          <w:sz w:val="28"/>
          <w:szCs w:val="28"/>
        </w:rPr>
        <w:fldChar w:fldCharType="separate"/>
      </w:r>
      <w:r>
        <w:rPr>
          <w:rFonts w:hint="default" w:ascii="FreeSerif" w:hAnsi="FreeSerif" w:eastAsia="方正楷体_GBK" w:cs="FreeSerif"/>
          <w:b w:val="0"/>
          <w:bCs w:val="0"/>
          <w:sz w:val="28"/>
          <w:szCs w:val="28"/>
        </w:rPr>
        <w:t>29</w:t>
      </w:r>
      <w:r>
        <w:rPr>
          <w:rFonts w:hint="default" w:ascii="FreeSerif" w:hAnsi="FreeSerif" w:eastAsia="方正楷体_GBK" w:cs="FreeSerif"/>
          <w:b w:val="0"/>
          <w:bCs w:val="0"/>
          <w:sz w:val="28"/>
          <w:szCs w:val="28"/>
        </w:rPr>
        <w:fldChar w:fldCharType="end"/>
      </w:r>
      <w:r>
        <w:rPr>
          <w:rFonts w:hint="default" w:ascii="FreeSerif" w:hAnsi="FreeSerif" w:eastAsia="方正楷体_GBK" w:cs="FreeSerif"/>
          <w:b w:val="0"/>
          <w:bCs w:val="0"/>
          <w:color w:val="auto"/>
          <w:sz w:val="28"/>
          <w:szCs w:val="28"/>
        </w:rPr>
        <w:fldChar w:fldCharType="end"/>
      </w:r>
    </w:p>
    <w:p>
      <w:pPr>
        <w:pStyle w:val="9"/>
        <w:keepNext w:val="0"/>
        <w:keepLines w:val="0"/>
        <w:pageBreakBefore w:val="0"/>
        <w:widowControl w:val="0"/>
        <w:tabs>
          <w:tab w:val="right" w:leader="dot" w:pos="8838"/>
        </w:tabs>
        <w:kinsoku/>
        <w:wordWrap/>
        <w:overflowPunct w:val="0"/>
        <w:topLinePunct w:val="0"/>
        <w:autoSpaceDE/>
        <w:autoSpaceDN/>
        <w:bidi w:val="0"/>
        <w:adjustRightInd/>
        <w:snapToGrid/>
        <w:spacing w:line="500" w:lineRule="exact"/>
        <w:ind w:left="0" w:leftChars="0" w:firstLine="420" w:firstLineChars="150"/>
        <w:textAlignment w:val="auto"/>
        <w:rPr>
          <w:rFonts w:hint="default" w:ascii="FreeSerif" w:hAnsi="FreeSerif" w:cs="FreeSerif"/>
          <w:b w:val="0"/>
          <w:bCs w:val="0"/>
        </w:rPr>
      </w:pPr>
      <w:r>
        <w:rPr>
          <w:rFonts w:hint="default" w:ascii="FreeSerif" w:hAnsi="FreeSerif" w:eastAsia="方正楷体_GBK" w:cs="FreeSerif"/>
          <w:b w:val="0"/>
          <w:bCs w:val="0"/>
          <w:color w:val="auto"/>
          <w:sz w:val="28"/>
          <w:szCs w:val="28"/>
        </w:rPr>
        <w:fldChar w:fldCharType="begin"/>
      </w:r>
      <w:r>
        <w:rPr>
          <w:rFonts w:hint="default" w:ascii="FreeSerif" w:hAnsi="FreeSerif" w:eastAsia="方正楷体_GBK" w:cs="FreeSerif"/>
          <w:b w:val="0"/>
          <w:bCs w:val="0"/>
          <w:sz w:val="28"/>
          <w:szCs w:val="28"/>
        </w:rPr>
        <w:instrText xml:space="preserve"> HYPERLINK \l _Toc575843450 </w:instrText>
      </w:r>
      <w:r>
        <w:rPr>
          <w:rFonts w:hint="default" w:ascii="FreeSerif" w:hAnsi="FreeSerif" w:eastAsia="方正楷体_GBK" w:cs="FreeSerif"/>
          <w:b w:val="0"/>
          <w:bCs w:val="0"/>
          <w:sz w:val="28"/>
          <w:szCs w:val="28"/>
        </w:rPr>
        <w:fldChar w:fldCharType="separate"/>
      </w:r>
      <w:r>
        <w:rPr>
          <w:rFonts w:hint="default" w:ascii="FreeSerif" w:hAnsi="FreeSerif" w:eastAsia="方正楷体_GBK" w:cs="FreeSerif"/>
          <w:b w:val="0"/>
          <w:bCs w:val="0"/>
          <w:snapToGrid/>
          <w:kern w:val="2"/>
          <w:sz w:val="28"/>
          <w:szCs w:val="28"/>
          <w:lang w:val="en-US" w:eastAsia="zh-CN" w:bidi="ar"/>
        </w:rPr>
        <w:t>（四）加强实施效果评估</w:t>
      </w:r>
      <w:r>
        <w:rPr>
          <w:rFonts w:hint="default" w:ascii="FreeSerif" w:hAnsi="FreeSerif" w:eastAsia="方正楷体_GBK" w:cs="FreeSerif"/>
          <w:b w:val="0"/>
          <w:bCs w:val="0"/>
          <w:sz w:val="28"/>
          <w:szCs w:val="28"/>
        </w:rPr>
        <w:tab/>
      </w:r>
      <w:r>
        <w:rPr>
          <w:rFonts w:hint="default" w:ascii="FreeSerif" w:hAnsi="FreeSerif" w:eastAsia="方正楷体_GBK" w:cs="FreeSerif"/>
          <w:b w:val="0"/>
          <w:bCs w:val="0"/>
          <w:sz w:val="28"/>
          <w:szCs w:val="28"/>
        </w:rPr>
        <w:fldChar w:fldCharType="begin"/>
      </w:r>
      <w:r>
        <w:rPr>
          <w:rFonts w:hint="default" w:ascii="FreeSerif" w:hAnsi="FreeSerif" w:eastAsia="方正楷体_GBK" w:cs="FreeSerif"/>
          <w:b w:val="0"/>
          <w:bCs w:val="0"/>
          <w:sz w:val="28"/>
          <w:szCs w:val="28"/>
        </w:rPr>
        <w:instrText xml:space="preserve"> PAGEREF _Toc575843450 </w:instrText>
      </w:r>
      <w:r>
        <w:rPr>
          <w:rFonts w:hint="default" w:ascii="FreeSerif" w:hAnsi="FreeSerif" w:eastAsia="方正楷体_GBK" w:cs="FreeSerif"/>
          <w:b w:val="0"/>
          <w:bCs w:val="0"/>
          <w:sz w:val="28"/>
          <w:szCs w:val="28"/>
        </w:rPr>
        <w:fldChar w:fldCharType="separate"/>
      </w:r>
      <w:r>
        <w:rPr>
          <w:rFonts w:hint="default" w:ascii="FreeSerif" w:hAnsi="FreeSerif" w:eastAsia="方正楷体_GBK" w:cs="FreeSerif"/>
          <w:b w:val="0"/>
          <w:bCs w:val="0"/>
          <w:sz w:val="28"/>
          <w:szCs w:val="28"/>
        </w:rPr>
        <w:t>29</w:t>
      </w:r>
      <w:r>
        <w:rPr>
          <w:rFonts w:hint="default" w:ascii="FreeSerif" w:hAnsi="FreeSerif" w:eastAsia="方正楷体_GBK" w:cs="FreeSerif"/>
          <w:b w:val="0"/>
          <w:bCs w:val="0"/>
          <w:sz w:val="28"/>
          <w:szCs w:val="28"/>
        </w:rPr>
        <w:fldChar w:fldCharType="end"/>
      </w:r>
      <w:r>
        <w:rPr>
          <w:rFonts w:hint="default" w:ascii="FreeSerif" w:hAnsi="FreeSerif" w:eastAsia="方正楷体_GBK" w:cs="FreeSerif"/>
          <w:b w:val="0"/>
          <w:bCs w:val="0"/>
          <w:color w:val="auto"/>
          <w:sz w:val="28"/>
          <w:szCs w:val="28"/>
        </w:rPr>
        <w:fldChar w:fldCharType="end"/>
      </w:r>
    </w:p>
    <w:p>
      <w:pPr>
        <w:pStyle w:val="3"/>
        <w:keepNext w:val="0"/>
        <w:keepLines w:val="0"/>
        <w:pageBreakBefore w:val="0"/>
        <w:widowControl w:val="0"/>
        <w:kinsoku/>
        <w:wordWrap/>
        <w:overflowPunct w:val="0"/>
        <w:topLinePunct w:val="0"/>
        <w:autoSpaceDE/>
        <w:autoSpaceDN/>
        <w:bidi w:val="0"/>
        <w:spacing w:line="500" w:lineRule="exact"/>
        <w:ind w:left="0" w:leftChars="0"/>
        <w:textAlignment w:val="auto"/>
        <w:rPr>
          <w:rFonts w:hint="default" w:ascii="FreeSerif" w:hAnsi="FreeSerif" w:cs="FreeSerif"/>
        </w:rPr>
        <w:sectPr>
          <w:footerReference r:id="rId8" w:type="first"/>
          <w:footerReference r:id="rId7" w:type="default"/>
          <w:pgSz w:w="11900" w:h="16821"/>
          <w:pgMar w:top="2041" w:right="1531" w:bottom="2041" w:left="1531" w:header="850" w:footer="1672" w:gutter="0"/>
          <w:pgNumType w:fmt="decimal" w:start="1"/>
          <w:cols w:space="720" w:num="1"/>
          <w:titlePg/>
          <w:rtlGutter w:val="0"/>
          <w:docGrid w:linePitch="332" w:charSpace="0"/>
        </w:sectPr>
      </w:pPr>
      <w:r>
        <w:rPr>
          <w:rFonts w:hint="default" w:ascii="FreeSerif" w:hAnsi="FreeSerif" w:eastAsia="方正仿宋_GBK" w:cs="FreeSerif"/>
          <w:b w:val="0"/>
          <w:bCs w:val="0"/>
          <w:color w:val="auto"/>
          <w:szCs w:val="32"/>
        </w:rPr>
        <w:fldChar w:fldCharType="end"/>
      </w:r>
    </w:p>
    <w:p>
      <w:pPr>
        <w:pStyle w:val="3"/>
        <w:keepNext w:val="0"/>
        <w:keepLines w:val="0"/>
        <w:pageBreakBefore w:val="0"/>
        <w:widowControl w:val="0"/>
        <w:suppressLineNumbers w:val="0"/>
        <w:kinsoku/>
        <w:wordWrap/>
        <w:overflowPunct w:val="0"/>
        <w:topLinePunct w:val="0"/>
        <w:autoSpaceDE/>
        <w:autoSpaceDN/>
        <w:bidi w:val="0"/>
        <w:adjustRightInd w:val="0"/>
        <w:snapToGrid w:val="0"/>
        <w:spacing w:line="578" w:lineRule="exact"/>
        <w:ind w:left="0" w:leftChars="0" w:firstLine="0" w:firstLineChars="0"/>
        <w:jc w:val="center"/>
        <w:textAlignment w:val="auto"/>
        <w:rPr>
          <w:rFonts w:hint="default" w:ascii="FreeSerif" w:hAnsi="FreeSerif" w:eastAsia="方正黑体_GBK" w:cs="FreeSerif"/>
          <w:b w:val="0"/>
          <w:kern w:val="44"/>
          <w:sz w:val="32"/>
          <w:szCs w:val="32"/>
        </w:rPr>
      </w:pPr>
      <w:bookmarkStart w:id="0" w:name="_Toc297109207"/>
      <w:r>
        <w:rPr>
          <w:rFonts w:hint="default" w:ascii="FreeSerif" w:hAnsi="FreeSerif" w:eastAsia="方正黑体_GBK" w:cs="FreeSerif"/>
          <w:b w:val="0"/>
          <w:kern w:val="44"/>
          <w:sz w:val="32"/>
          <w:szCs w:val="32"/>
        </w:rPr>
        <w:t>前</w:t>
      </w:r>
      <w:r>
        <w:rPr>
          <w:rFonts w:hint="default" w:ascii="FreeSerif" w:hAnsi="FreeSerif" w:eastAsia="方正黑体_GBK" w:cs="FreeSerif"/>
          <w:b w:val="0"/>
          <w:kern w:val="44"/>
          <w:sz w:val="32"/>
          <w:szCs w:val="32"/>
          <w:lang w:val="en-US" w:eastAsia="zh-CN"/>
        </w:rPr>
        <w:t xml:space="preserve"> </w:t>
      </w:r>
      <w:r>
        <w:rPr>
          <w:rFonts w:hint="default" w:ascii="FreeSerif" w:hAnsi="FreeSerif" w:eastAsia="方正黑体_GBK" w:cs="FreeSerif"/>
          <w:b w:val="0"/>
          <w:kern w:val="44"/>
          <w:sz w:val="32"/>
          <w:szCs w:val="32"/>
        </w:rPr>
        <w:t>言</w:t>
      </w:r>
      <w:bookmarkEnd w:id="0"/>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default" w:ascii="FreeSerif" w:hAnsi="FreeSerif" w:eastAsia="方正仿宋_GBK" w:cs="FreeSerif"/>
          <w:snapToGrid/>
          <w:kern w:val="2"/>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default" w:ascii="FreeSerif" w:hAnsi="FreeSerif" w:eastAsia="方正仿宋_GBK" w:cs="FreeSerif"/>
          <w:kern w:val="2"/>
          <w:sz w:val="32"/>
          <w:szCs w:val="32"/>
        </w:rPr>
      </w:pPr>
      <w:r>
        <w:rPr>
          <w:rFonts w:hint="default" w:ascii="FreeSerif" w:hAnsi="FreeSerif" w:eastAsia="方正仿宋_GBK" w:cs="FreeSerif"/>
          <w:snapToGrid/>
          <w:kern w:val="2"/>
          <w:sz w:val="32"/>
          <w:szCs w:val="32"/>
          <w:lang w:val="en-US" w:eastAsia="zh-CN" w:bidi="ar"/>
        </w:rPr>
        <w:t>依据国家《“</w:t>
      </w:r>
      <w:r>
        <w:rPr>
          <w:rFonts w:hint="eastAsia" w:ascii="方正仿宋_GBK" w:hAnsi="方正仿宋_GBK" w:eastAsia="方正仿宋_GBK" w:cs="方正仿宋_GBK"/>
          <w:snapToGrid/>
          <w:kern w:val="2"/>
          <w:sz w:val="32"/>
          <w:szCs w:val="32"/>
          <w:lang w:val="en-US" w:eastAsia="zh-CN" w:bidi="ar"/>
        </w:rPr>
        <w:t>十四五”土壤、地下水和农村生态环境保护规划的通知》《吉林省“十四五”土壤、地下水和农村生态环境保护规划》要求，编制《白城市“十四五”土壤、地下水和农村生态环境保护规划》（以下简称《规划》）。《规划》在总结“十三五”期间白城市土壤、地下水与农业农村生态环境保护工作成效的基础</w:t>
      </w:r>
      <w:r>
        <w:rPr>
          <w:rFonts w:hint="default" w:ascii="FreeSerif" w:hAnsi="FreeSerif" w:eastAsia="方正仿宋_GBK" w:cs="FreeSerif"/>
          <w:snapToGrid/>
          <w:kern w:val="2"/>
          <w:sz w:val="32"/>
          <w:szCs w:val="32"/>
          <w:lang w:val="en-US" w:eastAsia="zh-CN" w:bidi="ar"/>
        </w:rPr>
        <w:t>上，分析全</w:t>
      </w:r>
      <w:r>
        <w:rPr>
          <w:rFonts w:hint="eastAsia" w:ascii="方正仿宋_GBK" w:hAnsi="方正仿宋_GBK" w:eastAsia="方正仿宋_GBK" w:cs="方正仿宋_GBK"/>
          <w:snapToGrid/>
          <w:kern w:val="2"/>
          <w:sz w:val="32"/>
          <w:szCs w:val="32"/>
          <w:lang w:val="en-US" w:eastAsia="zh-CN" w:bidi="ar"/>
        </w:rPr>
        <w:t>市“十四五”期间土壤、地下水与农业农村生态环境保护面临的形势，阐明“十四五”期间全市土壤、地下水与农业农村生态环境保护的总体思路、目标指标</w:t>
      </w:r>
      <w:r>
        <w:rPr>
          <w:rFonts w:hint="default" w:ascii="FreeSerif" w:hAnsi="FreeSerif" w:eastAsia="方正仿宋_GBK" w:cs="FreeSerif"/>
          <w:snapToGrid/>
          <w:kern w:val="2"/>
          <w:sz w:val="32"/>
          <w:szCs w:val="32"/>
          <w:lang w:val="en-US" w:eastAsia="zh-CN" w:bidi="ar"/>
        </w:rPr>
        <w:t>、主要任务和重点工程，为深入打好黑土地保卫战及农业农村污染防治攻坚战奠定坚实基础。规划期2021</w:t>
      </w:r>
      <w:r>
        <w:rPr>
          <w:rFonts w:hint="default" w:ascii="FreeSerif" w:hAnsi="FreeSerif" w:eastAsia="方正书宋_GBK" w:cs="FreeSerif"/>
          <w:snapToGrid/>
          <w:kern w:val="2"/>
          <w:sz w:val="32"/>
          <w:szCs w:val="32"/>
          <w:lang w:val="en-US" w:eastAsia="zh-CN" w:bidi="ar"/>
        </w:rPr>
        <w:t>—</w:t>
      </w:r>
      <w:r>
        <w:rPr>
          <w:rFonts w:hint="default" w:ascii="FreeSerif" w:hAnsi="FreeSerif" w:eastAsia="方正仿宋_GBK" w:cs="FreeSerif"/>
          <w:snapToGrid/>
          <w:kern w:val="2"/>
          <w:sz w:val="32"/>
          <w:szCs w:val="32"/>
          <w:lang w:val="en-US" w:eastAsia="zh-CN" w:bidi="ar"/>
        </w:rPr>
        <w:t>2025年，展望至2035年。</w:t>
      </w:r>
    </w:p>
    <w:p>
      <w:pPr>
        <w:pStyle w:val="3"/>
        <w:keepNext w:val="0"/>
        <w:keepLines w:val="0"/>
        <w:pageBreakBefore w:val="0"/>
        <w:widowControl w:val="0"/>
        <w:suppressLineNumbers w:val="0"/>
        <w:kinsoku/>
        <w:wordWrap/>
        <w:overflowPunct w:val="0"/>
        <w:topLinePunct w:val="0"/>
        <w:autoSpaceDE/>
        <w:autoSpaceDN/>
        <w:bidi w:val="0"/>
        <w:adjustRightInd w:val="0"/>
        <w:snapToGrid w:val="0"/>
        <w:spacing w:line="578" w:lineRule="exact"/>
        <w:ind w:left="0" w:leftChars="0" w:firstLine="640" w:firstLineChars="200"/>
        <w:jc w:val="both"/>
        <w:textAlignment w:val="auto"/>
        <w:outlineLvl w:val="0"/>
        <w:rPr>
          <w:rFonts w:hint="default" w:ascii="FreeSerif" w:hAnsi="FreeSerif" w:eastAsia="方正黑体_GBK" w:cs="FreeSerif"/>
          <w:b w:val="0"/>
          <w:kern w:val="44"/>
          <w:sz w:val="32"/>
          <w:szCs w:val="32"/>
        </w:rPr>
      </w:pPr>
      <w:bookmarkStart w:id="1" w:name="_Toc2127126175"/>
      <w:r>
        <w:rPr>
          <w:rFonts w:hint="default" w:ascii="FreeSerif" w:hAnsi="FreeSerif" w:eastAsia="方正黑体_GBK" w:cs="FreeSerif"/>
          <w:b w:val="0"/>
          <w:kern w:val="44"/>
          <w:sz w:val="32"/>
          <w:szCs w:val="32"/>
        </w:rPr>
        <w:t>一、进展与形势</w:t>
      </w:r>
      <w:bookmarkEnd w:id="1"/>
    </w:p>
    <w:p>
      <w:pPr>
        <w:pStyle w:val="4"/>
        <w:keepNext w:val="0"/>
        <w:keepLines w:val="0"/>
        <w:pageBreakBefore w:val="0"/>
        <w:widowControl w:val="0"/>
        <w:suppressLineNumbers w:val="0"/>
        <w:kinsoku/>
        <w:wordWrap/>
        <w:overflowPunct w:val="0"/>
        <w:topLinePunct w:val="0"/>
        <w:autoSpaceDE/>
        <w:autoSpaceDN/>
        <w:bidi w:val="0"/>
        <w:adjustRightInd w:val="0"/>
        <w:snapToGrid w:val="0"/>
        <w:spacing w:line="578" w:lineRule="exact"/>
        <w:ind w:left="0" w:leftChars="0" w:firstLine="640" w:firstLineChars="200"/>
        <w:jc w:val="both"/>
        <w:textAlignment w:val="auto"/>
        <w:outlineLvl w:val="1"/>
        <w:rPr>
          <w:rFonts w:hint="default" w:ascii="FreeSerif" w:hAnsi="FreeSerif" w:eastAsia="方正仿宋_GBK" w:cs="FreeSerif"/>
          <w:b w:val="0"/>
          <w:bCs w:val="0"/>
          <w:sz w:val="32"/>
          <w:szCs w:val="32"/>
        </w:rPr>
      </w:pPr>
      <w:bookmarkStart w:id="2" w:name="_Toc1811061296"/>
      <w:r>
        <w:rPr>
          <w:rFonts w:hint="default" w:ascii="FreeSerif" w:hAnsi="FreeSerif" w:eastAsia="方正楷体_GBK" w:cs="FreeSerif"/>
          <w:b w:val="0"/>
          <w:bCs/>
          <w:kern w:val="0"/>
          <w:sz w:val="32"/>
          <w:szCs w:val="32"/>
        </w:rPr>
        <w:t>（一）工作进展</w:t>
      </w:r>
      <w:bookmarkEnd w:id="2"/>
      <w:r>
        <w:rPr>
          <w:rFonts w:hint="default" w:ascii="FreeSerif" w:hAnsi="FreeSerif" w:eastAsia="方正仿宋_GBK" w:cs="FreeSerif"/>
          <w:b w:val="0"/>
          <w:bCs w:val="0"/>
          <w:sz w:val="32"/>
          <w:szCs w:val="32"/>
          <w:lang w:val="en-US" w:eastAsia="zh-CN"/>
        </w:rPr>
        <w:t>。</w:t>
      </w:r>
      <w:r>
        <w:rPr>
          <w:rFonts w:hint="eastAsia" w:ascii="方正仿宋_GBK" w:hAnsi="方正仿宋_GBK" w:eastAsia="方正仿宋_GBK" w:cs="方正仿宋_GBK"/>
          <w:b w:val="0"/>
          <w:bCs w:val="0"/>
          <w:snapToGrid/>
          <w:kern w:val="2"/>
          <w:sz w:val="32"/>
          <w:szCs w:val="32"/>
          <w:lang w:val="en-US" w:eastAsia="zh-CN" w:bidi="ar"/>
        </w:rPr>
        <w:t>“</w:t>
      </w:r>
      <w:r>
        <w:rPr>
          <w:rFonts w:hint="eastAsia" w:ascii="方正仿宋_GBK" w:hAnsi="方正仿宋_GBK" w:eastAsia="方正仿宋_GBK" w:cs="方正仿宋_GBK"/>
          <w:b w:val="0"/>
          <w:bCs w:val="0"/>
          <w:sz w:val="32"/>
          <w:szCs w:val="32"/>
          <w:lang w:val="en-US" w:eastAsia="zh-CN"/>
        </w:rPr>
        <w:t>十三五”</w:t>
      </w:r>
      <w:r>
        <w:rPr>
          <w:rFonts w:hint="default" w:ascii="FreeSerif" w:hAnsi="FreeSerif" w:eastAsia="方正仿宋_GBK" w:cs="FreeSerif"/>
          <w:b w:val="0"/>
          <w:bCs w:val="0"/>
          <w:sz w:val="32"/>
          <w:szCs w:val="32"/>
          <w:lang w:val="en-US" w:eastAsia="zh-CN"/>
        </w:rPr>
        <w:t>以来，全市深入贯彻习近平生态文明思想，认真落实党中央、国务院及省委、省政府决策部署，大力实施《土壤污染防治行动计划》《吉林省清洁土壤行动计划》《水污染防治行动计划》《吉林省清洁水体行动计划》《农业农村污染治理攻坚战行动计划》《吉林省农业农村污染治理攻坚战行动方案》，推进土壤、地下水与农业农村生态环境保护，取得积极成效。</w:t>
      </w:r>
    </w:p>
    <w:p>
      <w:pPr>
        <w:keepNext w:val="0"/>
        <w:keepLines w:val="0"/>
        <w:pageBreakBefore w:val="0"/>
        <w:widowControl w:val="0"/>
        <w:kinsoku/>
        <w:wordWrap/>
        <w:overflowPunct w:val="0"/>
        <w:topLinePunct w:val="0"/>
        <w:autoSpaceDE/>
        <w:autoSpaceDN/>
        <w:bidi w:val="0"/>
        <w:adjustRightInd w:val="0"/>
        <w:snapToGrid w:val="0"/>
        <w:spacing w:line="578" w:lineRule="exact"/>
        <w:ind w:firstLine="640" w:firstLineChars="200"/>
        <w:textAlignment w:val="auto"/>
        <w:rPr>
          <w:rFonts w:hint="default" w:ascii="FreeSerif" w:hAnsi="FreeSerif" w:eastAsia="方正仿宋_GBK" w:cs="FreeSerif"/>
          <w:sz w:val="32"/>
          <w:szCs w:val="32"/>
        </w:rPr>
      </w:pPr>
      <w:r>
        <w:rPr>
          <w:rFonts w:hint="default" w:ascii="FreeSerif" w:hAnsi="FreeSerif" w:eastAsia="方正仿宋_GBK" w:cs="FreeSerif"/>
          <w:sz w:val="32"/>
          <w:szCs w:val="32"/>
          <w:lang w:val="en-US" w:eastAsia="zh-CN"/>
        </w:rPr>
        <w:t>1．土壤环境风险得到基本管控。</w:t>
      </w:r>
    </w:p>
    <w:p>
      <w:pPr>
        <w:keepNext w:val="0"/>
        <w:keepLines w:val="0"/>
        <w:pageBreakBefore w:val="0"/>
        <w:widowControl w:val="0"/>
        <w:kinsoku/>
        <w:wordWrap/>
        <w:overflowPunct w:val="0"/>
        <w:topLinePunct w:val="0"/>
        <w:autoSpaceDE/>
        <w:autoSpaceDN/>
        <w:bidi w:val="0"/>
        <w:adjustRightInd w:val="0"/>
        <w:snapToGrid w:val="0"/>
        <w:spacing w:line="578" w:lineRule="exact"/>
        <w:ind w:left="42" w:leftChars="20" w:firstLine="640" w:firstLineChars="200"/>
        <w:textAlignment w:val="auto"/>
        <w:rPr>
          <w:rFonts w:hint="default" w:ascii="FreeSerif" w:hAnsi="FreeSerif" w:eastAsia="方正仿宋_GBK" w:cs="FreeSerif"/>
          <w:sz w:val="32"/>
          <w:szCs w:val="32"/>
        </w:rPr>
      </w:pPr>
      <w:r>
        <w:rPr>
          <w:rFonts w:hint="default" w:ascii="FreeSerif" w:hAnsi="FreeSerif" w:eastAsia="方正仿宋_GBK" w:cs="FreeSerif"/>
          <w:sz w:val="32"/>
          <w:szCs w:val="32"/>
          <w:lang w:val="en-US" w:eastAsia="zh-CN"/>
        </w:rPr>
        <w:t>白城市土壤环境质量总体保持稳定，部分区域稳中有升，农用地和建设用地土壤环境安全得到基本保障，土壤环境风险得到基本管控。印发《白城市落实清洁土壤行动计划实施方案》《白城市土壤污染状况详查实施方案》《白城市土壤污染防治目标责任书》，制定《白城市开展涉镉等重金属重点行业企业排查整治工作方案》《白城市地膜回收行动方案》《白城市农村非正规垃圾堆放点排查整治工作实施方案》《白城市耕地土壤环境质量类别划分工作方案》《白城市污染耕地安全利用和严格管控总体方案》等。建立全市土壤环境信息化平台，基本建成土壤环境监测网络。</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default" w:ascii="FreeSerif" w:hAnsi="FreeSerif" w:eastAsia="方正仿宋_GBK" w:cs="FreeSerif"/>
          <w:kern w:val="2"/>
          <w:sz w:val="32"/>
          <w:szCs w:val="32"/>
        </w:rPr>
      </w:pPr>
      <w:r>
        <w:rPr>
          <w:rFonts w:hint="default" w:ascii="FreeSerif" w:hAnsi="FreeSerif" w:eastAsia="方正仿宋_GBK" w:cs="FreeSerif"/>
          <w:snapToGrid/>
          <w:kern w:val="2"/>
          <w:sz w:val="32"/>
          <w:szCs w:val="32"/>
          <w:lang w:val="en-US" w:eastAsia="zh-CN" w:bidi="ar"/>
        </w:rPr>
        <w:t>完成农用地详查工作，形成农用地土壤污染状况详查数据库。完成全市农用地土壤环境质量类别划分，建立耕地土壤环境质量档案和分类清单。完成29户重点行业企业用地土壤污染状况详查，建立污染地块清单和优先管控名录，并公布土壤污染重点监管单位名录。与辖区内5个县（市、区）政府和7家重点监管企业全部签订了土壤污染防治目标责任书，并报省厅备案。严格落实建设用地调查评估制度，实行污染地块再开发利用准入管理，印发《白城市建设用地污染地块风险管控工作方案》，建立疑似污染地块名单。印发《白城市关于进一步加强建设用地土壤环境联动监管的通知》（白环发〔2021〕39号），建立建设用地用途管理制度。</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578" w:lineRule="exact"/>
        <w:ind w:left="0" w:right="0" w:firstLine="640" w:firstLineChars="200"/>
        <w:jc w:val="both"/>
        <w:textAlignment w:val="auto"/>
        <w:rPr>
          <w:rFonts w:hint="default" w:ascii="FreeSerif" w:hAnsi="FreeSerif" w:eastAsia="方正仿宋_GBK" w:cs="FreeSerif"/>
          <w:b w:val="0"/>
          <w:kern w:val="2"/>
          <w:sz w:val="32"/>
          <w:szCs w:val="32"/>
        </w:rPr>
      </w:pPr>
      <w:r>
        <w:rPr>
          <w:rFonts w:hint="default" w:ascii="FreeSerif" w:hAnsi="FreeSerif" w:eastAsia="方正仿宋_GBK" w:cs="FreeSerif"/>
          <w:b w:val="0"/>
          <w:snapToGrid/>
          <w:kern w:val="2"/>
          <w:sz w:val="32"/>
          <w:szCs w:val="32"/>
          <w:lang w:val="en-US" w:eastAsia="zh-CN" w:bidi="ar"/>
        </w:rPr>
        <w:t>2．地下水生态环境保护稳步推进。</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default" w:ascii="FreeSerif" w:hAnsi="FreeSerif" w:eastAsia="方正仿宋_GBK" w:cs="FreeSerif"/>
          <w:kern w:val="2"/>
          <w:sz w:val="32"/>
          <w:szCs w:val="32"/>
        </w:rPr>
      </w:pPr>
      <w:r>
        <w:rPr>
          <w:rFonts w:hint="default" w:ascii="FreeSerif" w:hAnsi="FreeSerif" w:eastAsia="方正仿宋_GBK" w:cs="FreeSerif"/>
          <w:snapToGrid/>
          <w:kern w:val="2"/>
          <w:sz w:val="32"/>
          <w:szCs w:val="32"/>
          <w:lang w:val="en-US" w:eastAsia="zh-CN" w:bidi="ar"/>
        </w:rPr>
        <w:t>制定出台《白城市落实水污染防治行动计划实施方案》，按月调度全市水污染防治行动计划工作进展，上报省“水十条”调度平台，按年度完成《白城市落实水污染防治行动计划实施情况自查报告》上报工作。完成全市需要整治的14个入河排污口整治工作，达到生活污水不直排入河的目标要求。完成全市县级及以上6处城镇集中式饮用水水源地保护区划调整工作，饮用水源水质达标率为100</w:t>
      </w:r>
      <w:r>
        <w:rPr>
          <w:rFonts w:hint="default" w:ascii="FreeSerif" w:hAnsi="FreeSerif" w:eastAsia="CESI楷体-GB13000" w:cs="FreeSerif"/>
          <w:snapToGrid/>
          <w:kern w:val="2"/>
          <w:sz w:val="32"/>
          <w:szCs w:val="32"/>
          <w:lang w:val="en" w:eastAsia="zh-CN" w:bidi="ar"/>
        </w:rPr>
        <w:t>%</w:t>
      </w:r>
      <w:r>
        <w:rPr>
          <w:rFonts w:hint="default" w:ascii="FreeSerif" w:hAnsi="FreeSerif" w:eastAsia="方正仿宋_GBK" w:cs="FreeSerif"/>
          <w:snapToGrid/>
          <w:kern w:val="2"/>
          <w:sz w:val="32"/>
          <w:szCs w:val="32"/>
          <w:lang w:val="en-US" w:eastAsia="zh-CN" w:bidi="ar"/>
        </w:rPr>
        <w:t>。全市7个省级以上工业园区（吉林白城工业园区、吉林白城经济开发区、吉林镇赉经济开发区、吉林通榆经济开发区、吉林大安经济开发区、洮北区经济开发区、洮南经济开发区）全部完成污水处理设施建设和在线监测装置安装任务。全市共有279座加油站，全面完成更新双层罐或设置防渗池的改造任务。</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578" w:lineRule="exact"/>
        <w:ind w:left="0" w:leftChars="0" w:right="0" w:firstLine="640" w:firstLineChars="200"/>
        <w:jc w:val="both"/>
        <w:textAlignment w:val="auto"/>
        <w:rPr>
          <w:rFonts w:hint="default" w:ascii="FreeSerif" w:hAnsi="FreeSerif" w:eastAsia="方正仿宋_GBK" w:cs="FreeSerif"/>
          <w:kern w:val="2"/>
          <w:sz w:val="32"/>
          <w:szCs w:val="32"/>
        </w:rPr>
      </w:pPr>
      <w:r>
        <w:rPr>
          <w:rFonts w:hint="default" w:ascii="FreeSerif" w:hAnsi="FreeSerif" w:eastAsia="方正仿宋_GBK" w:cs="FreeSerif"/>
          <w:snapToGrid/>
          <w:kern w:val="2"/>
          <w:sz w:val="32"/>
          <w:szCs w:val="32"/>
          <w:lang w:val="en-US" w:eastAsia="zh-CN" w:bidi="ar"/>
        </w:rPr>
        <w:t>初步构建地下水环境监测网络，实施</w:t>
      </w:r>
      <w:r>
        <w:rPr>
          <w:rFonts w:hint="eastAsia" w:ascii="方正仿宋_GBK" w:hAnsi="方正仿宋_GBK" w:eastAsia="方正仿宋_GBK" w:cs="方正仿宋_GBK"/>
          <w:snapToGrid/>
          <w:kern w:val="2"/>
          <w:sz w:val="32"/>
          <w:szCs w:val="32"/>
          <w:lang w:val="en-US" w:eastAsia="zh-CN" w:bidi="ar"/>
        </w:rPr>
        <w:t>“国家地下水监测工程”，建成国家</w:t>
      </w:r>
      <w:r>
        <w:rPr>
          <w:rFonts w:hint="default" w:ascii="FreeSerif" w:hAnsi="FreeSerif" w:eastAsia="方正仿宋_GBK" w:cs="FreeSerif"/>
          <w:snapToGrid/>
          <w:kern w:val="2"/>
          <w:sz w:val="32"/>
          <w:szCs w:val="32"/>
          <w:lang w:val="en-US" w:eastAsia="zh-CN" w:bidi="ar"/>
        </w:rPr>
        <w:t>地下水监测站点8个。地下水污染防治初见成效，全市24个地下水考核点位实现质量极差比例控制在20.83</w:t>
      </w:r>
      <w:r>
        <w:rPr>
          <w:rFonts w:hint="default" w:ascii="FreeSerif" w:hAnsi="FreeSerif" w:eastAsia="CESI楷体-GB13000" w:cs="FreeSerif"/>
          <w:snapToGrid/>
          <w:kern w:val="2"/>
          <w:sz w:val="32"/>
          <w:szCs w:val="32"/>
          <w:lang w:val="en" w:eastAsia="zh-CN" w:bidi="ar"/>
        </w:rPr>
        <w:t>%</w:t>
      </w:r>
      <w:r>
        <w:rPr>
          <w:rFonts w:hint="default" w:ascii="FreeSerif" w:hAnsi="FreeSerif" w:eastAsia="方正仿宋_GBK" w:cs="FreeSerif"/>
          <w:snapToGrid/>
          <w:kern w:val="2"/>
          <w:sz w:val="32"/>
          <w:szCs w:val="32"/>
          <w:lang w:val="en-US" w:eastAsia="zh-CN" w:bidi="ar"/>
        </w:rPr>
        <w:t>左右的目标。</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578" w:lineRule="exact"/>
        <w:ind w:left="0" w:right="0" w:firstLine="640" w:firstLineChars="200"/>
        <w:jc w:val="both"/>
        <w:textAlignment w:val="auto"/>
        <w:rPr>
          <w:rFonts w:hint="default" w:ascii="FreeSerif" w:hAnsi="FreeSerif" w:eastAsia="方正仿宋_GBK" w:cs="FreeSerif"/>
          <w:b w:val="0"/>
          <w:kern w:val="2"/>
          <w:sz w:val="32"/>
          <w:szCs w:val="32"/>
        </w:rPr>
      </w:pPr>
      <w:r>
        <w:rPr>
          <w:rFonts w:hint="default" w:ascii="FreeSerif" w:hAnsi="FreeSerif" w:eastAsia="方正仿宋_GBK" w:cs="FreeSerif"/>
          <w:b w:val="0"/>
          <w:snapToGrid/>
          <w:kern w:val="2"/>
          <w:sz w:val="32"/>
          <w:szCs w:val="32"/>
          <w:lang w:val="en-US" w:eastAsia="zh-CN" w:bidi="ar"/>
        </w:rPr>
        <w:t>3．农业农村生态环境保护取得进展。</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578" w:lineRule="exact"/>
        <w:ind w:left="0" w:right="0" w:firstLine="640" w:firstLineChars="200"/>
        <w:jc w:val="both"/>
        <w:textAlignment w:val="auto"/>
        <w:rPr>
          <w:rFonts w:hint="default" w:ascii="FreeSerif" w:hAnsi="FreeSerif" w:eastAsia="方正仿宋_GBK" w:cs="FreeSerif"/>
          <w:kern w:val="2"/>
          <w:sz w:val="32"/>
          <w:szCs w:val="32"/>
        </w:rPr>
      </w:pPr>
      <w:r>
        <w:rPr>
          <w:rFonts w:hint="default" w:ascii="FreeSerif" w:hAnsi="FreeSerif" w:eastAsia="方正仿宋_GBK" w:cs="FreeSerif"/>
          <w:snapToGrid/>
          <w:kern w:val="2"/>
          <w:sz w:val="32"/>
          <w:szCs w:val="32"/>
          <w:lang w:val="en-US" w:eastAsia="zh-CN" w:bidi="ar"/>
        </w:rPr>
        <w:t>制定实施了《白城市农业农村污染治理攻坚战实施方案》。</w:t>
      </w:r>
      <w:r>
        <w:rPr>
          <w:rFonts w:hint="eastAsia" w:ascii="方正仿宋_GBK" w:hAnsi="方正仿宋_GBK" w:eastAsia="方正仿宋_GBK" w:cs="方正仿宋_GBK"/>
          <w:snapToGrid/>
          <w:kern w:val="2"/>
          <w:sz w:val="32"/>
          <w:szCs w:val="32"/>
          <w:lang w:val="en-US" w:eastAsia="zh-CN" w:bidi="ar"/>
        </w:rPr>
        <w:t>“十三五”期</w:t>
      </w:r>
      <w:r>
        <w:rPr>
          <w:rFonts w:hint="default" w:ascii="FreeSerif" w:hAnsi="FreeSerif" w:eastAsia="方正仿宋_GBK" w:cs="FreeSerif"/>
          <w:snapToGrid/>
          <w:kern w:val="2"/>
          <w:sz w:val="32"/>
          <w:szCs w:val="32"/>
          <w:lang w:val="en-US" w:eastAsia="zh-CN" w:bidi="ar"/>
        </w:rPr>
        <w:t>间完成整治行政村</w:t>
      </w:r>
      <w:r>
        <w:rPr>
          <w:rFonts w:hint="default" w:ascii="FreeSerif" w:hAnsi="FreeSerif" w:eastAsia="FreeSerif" w:cs="FreeSerif"/>
          <w:snapToGrid/>
          <w:kern w:val="2"/>
          <w:sz w:val="32"/>
          <w:szCs w:val="32"/>
          <w:lang w:val="en-US" w:eastAsia="zh-CN" w:bidi="ar"/>
        </w:rPr>
        <w:t>340</w:t>
      </w:r>
      <w:r>
        <w:rPr>
          <w:rFonts w:hint="default" w:ascii="FreeSerif" w:hAnsi="FreeSerif" w:eastAsia="方正仿宋_GBK" w:cs="FreeSerif"/>
          <w:snapToGrid/>
          <w:kern w:val="2"/>
          <w:sz w:val="32"/>
          <w:szCs w:val="32"/>
          <w:lang w:val="en-US" w:eastAsia="zh-CN" w:bidi="ar"/>
        </w:rPr>
        <w:t>个。全市完成了</w:t>
      </w:r>
      <w:r>
        <w:rPr>
          <w:rFonts w:hint="default" w:ascii="FreeSerif" w:hAnsi="FreeSerif" w:eastAsia="FreeSerif" w:cs="FreeSerif"/>
          <w:snapToGrid/>
          <w:kern w:val="2"/>
          <w:sz w:val="32"/>
          <w:szCs w:val="32"/>
          <w:lang w:val="en-US" w:eastAsia="zh-CN" w:bidi="ar"/>
        </w:rPr>
        <w:t>132</w:t>
      </w:r>
      <w:r>
        <w:rPr>
          <w:rFonts w:hint="default" w:ascii="FreeSerif" w:hAnsi="FreeSerif" w:eastAsia="方正仿宋_GBK" w:cs="FreeSerif"/>
          <w:snapToGrid/>
          <w:kern w:val="2"/>
          <w:sz w:val="32"/>
          <w:szCs w:val="32"/>
          <w:lang w:val="en-US" w:eastAsia="zh-CN" w:bidi="ar"/>
        </w:rPr>
        <w:t>处农村集中式饮用水水源保护区范围划定，农村饮用水水质检测覆盖率</w:t>
      </w:r>
      <w:r>
        <w:rPr>
          <w:rFonts w:hint="default" w:ascii="FreeSerif" w:hAnsi="FreeSerif" w:eastAsia="FreeSerif" w:cs="FreeSerif"/>
          <w:snapToGrid/>
          <w:kern w:val="2"/>
          <w:sz w:val="32"/>
          <w:szCs w:val="32"/>
          <w:lang w:val="en-US" w:eastAsia="zh-CN" w:bidi="ar"/>
        </w:rPr>
        <w:t>100</w:t>
      </w:r>
      <w:r>
        <w:rPr>
          <w:rFonts w:hint="default" w:ascii="FreeSerif" w:hAnsi="FreeSerif" w:eastAsia="CESI楷体-GB13000" w:cs="FreeSerif"/>
          <w:snapToGrid/>
          <w:kern w:val="2"/>
          <w:sz w:val="32"/>
          <w:szCs w:val="32"/>
          <w:lang w:val="en" w:eastAsia="zh-CN" w:bidi="ar"/>
        </w:rPr>
        <w:t>%</w:t>
      </w:r>
      <w:r>
        <w:rPr>
          <w:rFonts w:hint="default" w:ascii="FreeSerif" w:hAnsi="FreeSerif" w:eastAsia="方正仿宋_GBK" w:cs="FreeSerif"/>
          <w:snapToGrid/>
          <w:kern w:val="2"/>
          <w:sz w:val="32"/>
          <w:szCs w:val="32"/>
          <w:lang w:val="en-US" w:eastAsia="zh-CN" w:bidi="ar"/>
        </w:rPr>
        <w:t>，总合格率为</w:t>
      </w:r>
      <w:r>
        <w:rPr>
          <w:rFonts w:hint="default" w:ascii="FreeSerif" w:hAnsi="FreeSerif" w:eastAsia="FreeSerif" w:cs="FreeSerif"/>
          <w:snapToGrid/>
          <w:kern w:val="2"/>
          <w:sz w:val="32"/>
          <w:szCs w:val="32"/>
          <w:lang w:val="en-US" w:eastAsia="zh-CN" w:bidi="ar"/>
        </w:rPr>
        <w:t>100</w:t>
      </w:r>
      <w:r>
        <w:rPr>
          <w:rFonts w:hint="default" w:ascii="FreeSerif" w:hAnsi="FreeSerif" w:eastAsia="CESI楷体-GB13000" w:cs="FreeSerif"/>
          <w:snapToGrid/>
          <w:kern w:val="2"/>
          <w:sz w:val="32"/>
          <w:szCs w:val="32"/>
          <w:lang w:val="en" w:eastAsia="zh-CN" w:bidi="ar"/>
        </w:rPr>
        <w:t>%</w:t>
      </w:r>
      <w:r>
        <w:rPr>
          <w:rFonts w:hint="default" w:ascii="FreeSerif" w:hAnsi="FreeSerif" w:eastAsia="方正仿宋_GBK" w:cs="FreeSerif"/>
          <w:snapToGrid/>
          <w:kern w:val="2"/>
          <w:sz w:val="32"/>
          <w:szCs w:val="32"/>
          <w:lang w:val="en-US" w:eastAsia="zh-CN" w:bidi="ar"/>
        </w:rPr>
        <w:t>。开展</w:t>
      </w:r>
      <w:r>
        <w:rPr>
          <w:rFonts w:hint="default" w:ascii="FreeSerif" w:hAnsi="FreeSerif" w:eastAsia="FreeSerif" w:cs="FreeSerif"/>
          <w:snapToGrid/>
          <w:kern w:val="2"/>
          <w:sz w:val="32"/>
          <w:szCs w:val="32"/>
          <w:lang w:val="en-US" w:eastAsia="zh-CN" w:bidi="ar"/>
        </w:rPr>
        <w:t>6</w:t>
      </w:r>
      <w:r>
        <w:rPr>
          <w:rFonts w:hint="default" w:ascii="FreeSerif" w:hAnsi="FreeSerif" w:eastAsia="方正仿宋_GBK" w:cs="FreeSerif"/>
          <w:snapToGrid/>
          <w:kern w:val="2"/>
          <w:sz w:val="32"/>
          <w:szCs w:val="32"/>
          <w:lang w:val="en-US" w:eastAsia="zh-CN" w:bidi="ar"/>
        </w:rPr>
        <w:t>个县级以上水源地规范化建设。</w:t>
      </w:r>
      <w:r>
        <w:rPr>
          <w:rFonts w:hint="default" w:ascii="FreeSerif" w:hAnsi="FreeSerif" w:eastAsia="方正仿宋_GBK" w:cs="FreeSerif"/>
          <w:snapToGrid/>
          <w:kern w:val="2"/>
          <w:sz w:val="32"/>
          <w:szCs w:val="32"/>
          <w:lang w:val="en" w:eastAsia="zh-CN" w:bidi="ar"/>
        </w:rPr>
        <w:t xml:space="preserve"> </w:t>
      </w:r>
      <w:r>
        <w:rPr>
          <w:rFonts w:hint="default" w:ascii="FreeSerif" w:hAnsi="FreeSerif" w:eastAsia="方正仿宋_GBK" w:cs="FreeSerif"/>
          <w:snapToGrid/>
          <w:kern w:val="2"/>
          <w:sz w:val="32"/>
          <w:szCs w:val="32"/>
          <w:lang w:val="en-US" w:eastAsia="zh-CN" w:bidi="ar"/>
        </w:rPr>
        <w:t>全省率先开展农村环境卫</w:t>
      </w:r>
      <w:r>
        <w:rPr>
          <w:rFonts w:hint="eastAsia" w:ascii="方正仿宋_GBK" w:hAnsi="方正仿宋_GBK" w:eastAsia="方正仿宋_GBK" w:cs="方正仿宋_GBK"/>
          <w:snapToGrid/>
          <w:kern w:val="2"/>
          <w:sz w:val="32"/>
          <w:szCs w:val="32"/>
          <w:lang w:val="en-US" w:eastAsia="zh-CN" w:bidi="ar"/>
        </w:rPr>
        <w:t>生“六清”整</w:t>
      </w:r>
      <w:r>
        <w:rPr>
          <w:rFonts w:hint="default" w:ascii="FreeSerif" w:hAnsi="FreeSerif" w:eastAsia="方正仿宋_GBK" w:cs="FreeSerif"/>
          <w:snapToGrid/>
          <w:kern w:val="2"/>
          <w:sz w:val="32"/>
          <w:szCs w:val="32"/>
          <w:lang w:val="en-US" w:eastAsia="zh-CN" w:bidi="ar"/>
        </w:rPr>
        <w:t>治行动，累计改厕</w:t>
      </w:r>
      <w:r>
        <w:rPr>
          <w:rFonts w:hint="default" w:ascii="FreeSerif" w:hAnsi="FreeSerif" w:eastAsia="FreeSerif" w:cs="FreeSerif"/>
          <w:snapToGrid/>
          <w:kern w:val="2"/>
          <w:sz w:val="32"/>
          <w:szCs w:val="32"/>
          <w:lang w:val="en-US" w:eastAsia="zh-CN" w:bidi="ar"/>
        </w:rPr>
        <w:t>7.7</w:t>
      </w:r>
      <w:r>
        <w:rPr>
          <w:rFonts w:hint="default" w:ascii="FreeSerif" w:hAnsi="FreeSerif" w:eastAsia="方正仿宋_GBK" w:cs="FreeSerif"/>
          <w:snapToGrid/>
          <w:kern w:val="2"/>
          <w:sz w:val="32"/>
          <w:szCs w:val="32"/>
          <w:lang w:val="en-US" w:eastAsia="zh-CN" w:bidi="ar"/>
        </w:rPr>
        <w:t>万户，建成11个建制镇污水处理厂。全市</w:t>
      </w:r>
      <w:r>
        <w:rPr>
          <w:rFonts w:hint="default" w:ascii="FreeSerif" w:hAnsi="FreeSerif" w:eastAsia="FreeSerif" w:cs="FreeSerif"/>
          <w:snapToGrid/>
          <w:kern w:val="2"/>
          <w:sz w:val="32"/>
          <w:szCs w:val="32"/>
          <w:lang w:val="en-US" w:eastAsia="zh-CN" w:bidi="ar"/>
        </w:rPr>
        <w:t>919</w:t>
      </w:r>
      <w:r>
        <w:rPr>
          <w:rFonts w:hint="default" w:ascii="FreeSerif" w:hAnsi="FreeSerif" w:eastAsia="方正仿宋_GBK" w:cs="FreeSerif"/>
          <w:snapToGrid/>
          <w:kern w:val="2"/>
          <w:sz w:val="32"/>
          <w:szCs w:val="32"/>
          <w:lang w:val="en-US" w:eastAsia="zh-CN" w:bidi="ar"/>
        </w:rPr>
        <w:t>个行政村全部建立了生活垃圾收运处置体系，完成率</w:t>
      </w:r>
      <w:r>
        <w:rPr>
          <w:rFonts w:hint="default" w:ascii="FreeSerif" w:hAnsi="FreeSerif" w:eastAsia="FreeSerif" w:cs="FreeSerif"/>
          <w:snapToGrid/>
          <w:kern w:val="2"/>
          <w:sz w:val="32"/>
          <w:szCs w:val="32"/>
          <w:lang w:val="en-US" w:eastAsia="zh-CN" w:bidi="ar"/>
        </w:rPr>
        <w:t>100</w:t>
      </w:r>
      <w:r>
        <w:rPr>
          <w:rFonts w:hint="default" w:ascii="FreeSerif" w:hAnsi="FreeSerif" w:eastAsia="CESI楷体-GB13000" w:cs="FreeSerif"/>
          <w:snapToGrid/>
          <w:kern w:val="2"/>
          <w:sz w:val="32"/>
          <w:szCs w:val="32"/>
          <w:lang w:val="en-US" w:eastAsia="zh-CN" w:bidi="ar"/>
        </w:rPr>
        <w:t>%</w:t>
      </w:r>
      <w:r>
        <w:rPr>
          <w:rFonts w:hint="default" w:ascii="FreeSerif" w:hAnsi="FreeSerif" w:eastAsia="方正仿宋_GBK" w:cs="FreeSerif"/>
          <w:snapToGrid/>
          <w:kern w:val="2"/>
          <w:sz w:val="32"/>
          <w:szCs w:val="32"/>
          <w:lang w:val="en-US" w:eastAsia="zh-CN" w:bidi="ar"/>
        </w:rPr>
        <w:t>，建设垃圾转运站</w:t>
      </w:r>
      <w:r>
        <w:rPr>
          <w:rFonts w:hint="default" w:ascii="FreeSerif" w:hAnsi="FreeSerif" w:eastAsia="FreeSerif" w:cs="FreeSerif"/>
          <w:snapToGrid/>
          <w:kern w:val="2"/>
          <w:sz w:val="32"/>
          <w:szCs w:val="32"/>
          <w:lang w:val="en-US" w:eastAsia="zh-CN" w:bidi="ar"/>
        </w:rPr>
        <w:t>30</w:t>
      </w:r>
      <w:r>
        <w:rPr>
          <w:rFonts w:hint="default" w:ascii="FreeSerif" w:hAnsi="FreeSerif" w:eastAsia="方正仿宋_GBK" w:cs="FreeSerif"/>
          <w:snapToGrid/>
          <w:kern w:val="2"/>
          <w:sz w:val="32"/>
          <w:szCs w:val="32"/>
          <w:lang w:val="en-US" w:eastAsia="zh-CN" w:bidi="ar"/>
        </w:rPr>
        <w:t>座。开展全市农村生活污水治理现状摸底调查及农村黑臭水体排查，排查无黑臭水体。全市</w:t>
      </w:r>
      <w:r>
        <w:rPr>
          <w:rFonts w:hint="default" w:ascii="FreeSerif" w:hAnsi="FreeSerif" w:eastAsia="FreeSerif" w:cs="FreeSerif"/>
          <w:snapToGrid/>
          <w:kern w:val="2"/>
          <w:sz w:val="32"/>
          <w:szCs w:val="32"/>
          <w:lang w:val="en-US" w:eastAsia="zh-CN" w:bidi="ar"/>
        </w:rPr>
        <w:t>137</w:t>
      </w:r>
      <w:r>
        <w:rPr>
          <w:rFonts w:hint="default" w:ascii="FreeSerif" w:hAnsi="FreeSerif" w:eastAsia="方正仿宋_GBK" w:cs="FreeSerif"/>
          <w:snapToGrid/>
          <w:kern w:val="2"/>
          <w:sz w:val="32"/>
          <w:szCs w:val="32"/>
          <w:lang w:val="en-US" w:eastAsia="zh-CN" w:bidi="ar"/>
        </w:rPr>
        <w:t>户规模养殖场粪污处理设施装备配套率达到</w:t>
      </w:r>
      <w:r>
        <w:rPr>
          <w:rFonts w:hint="default" w:ascii="FreeSerif" w:hAnsi="FreeSerif" w:eastAsia="FreeSerif" w:cs="FreeSerif"/>
          <w:snapToGrid/>
          <w:kern w:val="2"/>
          <w:sz w:val="32"/>
          <w:szCs w:val="32"/>
          <w:lang w:val="en-US" w:eastAsia="zh-CN" w:bidi="ar"/>
        </w:rPr>
        <w:t>97.86</w:t>
      </w:r>
      <w:r>
        <w:rPr>
          <w:rFonts w:hint="default" w:ascii="FreeSerif" w:hAnsi="FreeSerif" w:eastAsia="CESI楷体-GB13000" w:cs="FreeSerif"/>
          <w:snapToGrid/>
          <w:kern w:val="2"/>
          <w:sz w:val="32"/>
          <w:szCs w:val="32"/>
          <w:lang w:val="en-US" w:eastAsia="zh-CN" w:bidi="ar"/>
        </w:rPr>
        <w:t>%</w:t>
      </w:r>
      <w:r>
        <w:rPr>
          <w:rFonts w:hint="default" w:ascii="FreeSerif" w:hAnsi="FreeSerif" w:eastAsia="方正仿宋_GBK" w:cs="FreeSerif"/>
          <w:snapToGrid/>
          <w:kern w:val="2"/>
          <w:sz w:val="32"/>
          <w:szCs w:val="32"/>
          <w:lang w:val="en-US" w:eastAsia="zh-CN" w:bidi="ar"/>
        </w:rPr>
        <w:t>，畜禽粪污综合利用率达到</w:t>
      </w:r>
      <w:r>
        <w:rPr>
          <w:rFonts w:hint="default" w:ascii="FreeSerif" w:hAnsi="FreeSerif" w:eastAsia="FreeSerif" w:cs="FreeSerif"/>
          <w:snapToGrid/>
          <w:kern w:val="2"/>
          <w:sz w:val="32"/>
          <w:szCs w:val="32"/>
          <w:lang w:val="en-US" w:eastAsia="zh-CN" w:bidi="ar"/>
        </w:rPr>
        <w:t>90.25</w:t>
      </w:r>
      <w:r>
        <w:rPr>
          <w:rFonts w:hint="default" w:ascii="FreeSerif" w:hAnsi="FreeSerif" w:eastAsia="CESI楷体-GB13000" w:cs="FreeSerif"/>
          <w:snapToGrid/>
          <w:kern w:val="2"/>
          <w:sz w:val="32"/>
          <w:szCs w:val="32"/>
          <w:lang w:val="en-US" w:eastAsia="zh-CN" w:bidi="ar"/>
        </w:rPr>
        <w:t>%</w:t>
      </w:r>
      <w:r>
        <w:rPr>
          <w:rFonts w:hint="default" w:ascii="FreeSerif" w:hAnsi="FreeSerif" w:eastAsia="方正仿宋_GBK" w:cs="FreeSerif"/>
          <w:snapToGrid/>
          <w:kern w:val="2"/>
          <w:sz w:val="32"/>
          <w:szCs w:val="32"/>
          <w:lang w:val="en-US" w:eastAsia="zh-CN" w:bidi="ar"/>
        </w:rPr>
        <w:t>。</w:t>
      </w:r>
      <w:r>
        <w:rPr>
          <w:rFonts w:hint="default" w:ascii="FreeSerif" w:hAnsi="FreeSerif" w:eastAsia="FreeSerif" w:cs="FreeSerif"/>
          <w:snapToGrid/>
          <w:kern w:val="2"/>
          <w:sz w:val="32"/>
          <w:szCs w:val="32"/>
          <w:lang w:val="en-US" w:eastAsia="zh-CN" w:bidi="ar"/>
        </w:rPr>
        <w:t>2018</w:t>
      </w:r>
      <w:r>
        <w:rPr>
          <w:rFonts w:hint="default" w:ascii="FreeSerif" w:hAnsi="FreeSerif" w:eastAsia="方正仿宋_GBK" w:cs="FreeSerif"/>
          <w:snapToGrid/>
          <w:kern w:val="2"/>
          <w:sz w:val="32"/>
          <w:szCs w:val="32"/>
          <w:lang w:val="en-US" w:eastAsia="zh-CN" w:bidi="ar"/>
        </w:rPr>
        <w:t>年</w:t>
      </w:r>
      <w:r>
        <w:rPr>
          <w:rFonts w:hint="default" w:ascii="FreeSerif" w:hAnsi="FreeSerif" w:eastAsia="FreeSerif" w:cs="FreeSerif"/>
          <w:snapToGrid/>
          <w:kern w:val="2"/>
          <w:sz w:val="32"/>
          <w:szCs w:val="32"/>
          <w:lang w:val="en-US" w:eastAsia="zh-CN" w:bidi="ar"/>
        </w:rPr>
        <w:t>7</w:t>
      </w:r>
      <w:r>
        <w:rPr>
          <w:rFonts w:hint="default" w:ascii="FreeSerif" w:hAnsi="FreeSerif" w:eastAsia="方正仿宋_GBK" w:cs="FreeSerif"/>
          <w:snapToGrid/>
          <w:kern w:val="2"/>
          <w:sz w:val="32"/>
          <w:szCs w:val="32"/>
          <w:lang w:val="en-US" w:eastAsia="zh-CN" w:bidi="ar"/>
        </w:rPr>
        <w:t>月全市禁养区内</w:t>
      </w:r>
      <w:r>
        <w:rPr>
          <w:rFonts w:hint="default" w:ascii="FreeSerif" w:hAnsi="FreeSerif" w:eastAsia="FreeSerif" w:cs="FreeSerif"/>
          <w:snapToGrid/>
          <w:kern w:val="2"/>
          <w:sz w:val="32"/>
          <w:szCs w:val="32"/>
          <w:lang w:val="en-US" w:eastAsia="zh-CN" w:bidi="ar"/>
        </w:rPr>
        <w:t>28</w:t>
      </w:r>
      <w:r>
        <w:rPr>
          <w:rFonts w:hint="default" w:ascii="FreeSerif" w:hAnsi="FreeSerif" w:eastAsia="方正仿宋_GBK" w:cs="FreeSerif"/>
          <w:snapToGrid/>
          <w:kern w:val="2"/>
          <w:sz w:val="32"/>
          <w:szCs w:val="32"/>
          <w:lang w:val="en-US" w:eastAsia="zh-CN" w:bidi="ar"/>
        </w:rPr>
        <w:t>户养殖场已全部完成关闭搬迁任务。实现农药使用量负增长，开展农药减量控害精准施药技术示范，推广应用高效精量喷头（体），全面推广土肥管家app，建立完善全省测土配方施肥白城区域12582大数据库，2020年年底，实现测土配方施肥覆盖率92.2</w:t>
      </w:r>
      <w:r>
        <w:rPr>
          <w:rFonts w:hint="default" w:ascii="FreeSerif" w:hAnsi="FreeSerif" w:eastAsia="CESI楷体-GB13000" w:cs="FreeSerif"/>
          <w:snapToGrid/>
          <w:kern w:val="2"/>
          <w:sz w:val="32"/>
          <w:szCs w:val="32"/>
          <w:lang w:val="en-US" w:eastAsia="zh-CN" w:bidi="ar"/>
        </w:rPr>
        <w:t>%</w:t>
      </w:r>
      <w:r>
        <w:rPr>
          <w:rFonts w:hint="default" w:ascii="FreeSerif" w:hAnsi="FreeSerif" w:eastAsia="方正仿宋_GBK" w:cs="FreeSerif"/>
          <w:snapToGrid/>
          <w:kern w:val="2"/>
          <w:sz w:val="32"/>
          <w:szCs w:val="32"/>
          <w:lang w:val="en-US" w:eastAsia="zh-CN" w:bidi="ar"/>
        </w:rPr>
        <w:t>（推广面积1233万亩），农药、化肥实际使用量分别下降1.92</w:t>
      </w:r>
      <w:r>
        <w:rPr>
          <w:rFonts w:hint="default" w:ascii="FreeSerif" w:hAnsi="FreeSerif" w:eastAsia="CESI楷体-GB13000" w:cs="FreeSerif"/>
          <w:snapToGrid/>
          <w:kern w:val="2"/>
          <w:sz w:val="32"/>
          <w:szCs w:val="32"/>
          <w:lang w:val="en-US" w:eastAsia="zh-CN" w:bidi="ar"/>
        </w:rPr>
        <w:t>%</w:t>
      </w:r>
      <w:r>
        <w:rPr>
          <w:rFonts w:hint="default" w:ascii="FreeSerif" w:hAnsi="FreeSerif" w:eastAsia="方正仿宋_GBK" w:cs="FreeSerif"/>
          <w:snapToGrid/>
          <w:kern w:val="2"/>
          <w:sz w:val="32"/>
          <w:szCs w:val="32"/>
          <w:lang w:val="en-US" w:eastAsia="zh-CN" w:bidi="ar"/>
        </w:rPr>
        <w:t>和0.7</w:t>
      </w:r>
      <w:r>
        <w:rPr>
          <w:rFonts w:hint="default" w:ascii="FreeSerif" w:hAnsi="FreeSerif" w:eastAsia="CESI楷体-GB13000" w:cs="FreeSerif"/>
          <w:snapToGrid/>
          <w:kern w:val="2"/>
          <w:sz w:val="32"/>
          <w:szCs w:val="32"/>
          <w:lang w:val="en-US" w:eastAsia="zh-CN" w:bidi="ar"/>
        </w:rPr>
        <w:t>%</w:t>
      </w:r>
      <w:r>
        <w:rPr>
          <w:rFonts w:hint="default" w:ascii="FreeSerif" w:hAnsi="FreeSerif" w:eastAsia="方正仿宋_GBK" w:cs="FreeSerif"/>
          <w:snapToGrid/>
          <w:kern w:val="2"/>
          <w:sz w:val="32"/>
          <w:szCs w:val="32"/>
          <w:lang w:val="en-US" w:eastAsia="zh-CN" w:bidi="ar"/>
        </w:rPr>
        <w:t>。全市农膜回收率达到87.81</w:t>
      </w:r>
      <w:r>
        <w:rPr>
          <w:rFonts w:hint="default" w:ascii="FreeSerif" w:hAnsi="FreeSerif" w:eastAsia="CESI楷体-GB13000" w:cs="FreeSerif"/>
          <w:snapToGrid/>
          <w:kern w:val="2"/>
          <w:sz w:val="32"/>
          <w:szCs w:val="32"/>
          <w:lang w:val="en-US" w:eastAsia="zh-CN" w:bidi="ar"/>
        </w:rPr>
        <w:t>%</w:t>
      </w:r>
      <w:r>
        <w:rPr>
          <w:rFonts w:hint="default" w:ascii="FreeSerif" w:hAnsi="FreeSerif" w:eastAsia="方正仿宋_GBK" w:cs="FreeSerif"/>
          <w:snapToGrid/>
          <w:kern w:val="2"/>
          <w:sz w:val="32"/>
          <w:szCs w:val="32"/>
          <w:lang w:val="en-US" w:eastAsia="zh-CN" w:bidi="ar"/>
        </w:rPr>
        <w:t>以上。推进秸秆资源化利用，实施秸秆肥料化、燃料化、饲料化、原料化、基料化综合利用，综合利用率达到81</w:t>
      </w:r>
      <w:r>
        <w:rPr>
          <w:rFonts w:hint="default" w:ascii="FreeSerif" w:hAnsi="FreeSerif" w:eastAsia="CESI楷体-GB13000" w:cs="FreeSerif"/>
          <w:snapToGrid/>
          <w:kern w:val="2"/>
          <w:sz w:val="32"/>
          <w:szCs w:val="32"/>
          <w:lang w:val="en-US" w:eastAsia="zh-CN" w:bidi="ar"/>
        </w:rPr>
        <w:t>%</w:t>
      </w:r>
      <w:r>
        <w:rPr>
          <w:rFonts w:hint="default" w:ascii="FreeSerif" w:hAnsi="FreeSerif" w:eastAsia="方正仿宋_GBK" w:cs="FreeSerif"/>
          <w:snapToGrid/>
          <w:kern w:val="2"/>
          <w:sz w:val="32"/>
          <w:szCs w:val="32"/>
          <w:lang w:val="en-US" w:eastAsia="zh-CN" w:bidi="ar"/>
        </w:rPr>
        <w:t>。全市农村生态环境监测网络逐步完善，初步建立农业农村生态环境监管信息平台。</w:t>
      </w:r>
    </w:p>
    <w:p>
      <w:pPr>
        <w:pStyle w:val="4"/>
        <w:keepNext w:val="0"/>
        <w:keepLines w:val="0"/>
        <w:widowControl w:val="0"/>
        <w:suppressLineNumbers w:val="0"/>
        <w:overflowPunct w:val="0"/>
        <w:autoSpaceDE w:val="0"/>
        <w:autoSpaceDN/>
        <w:adjustRightInd w:val="0"/>
        <w:snapToGrid w:val="0"/>
        <w:spacing w:line="578" w:lineRule="exact"/>
        <w:ind w:left="0" w:leftChars="0" w:firstLine="643"/>
        <w:jc w:val="both"/>
        <w:outlineLvl w:val="1"/>
        <w:rPr>
          <w:rFonts w:hint="default" w:ascii="FreeSerif" w:hAnsi="FreeSerif" w:eastAsia="方正仿宋_GBK" w:cs="FreeSerif"/>
          <w:kern w:val="2"/>
          <w:sz w:val="32"/>
          <w:szCs w:val="32"/>
        </w:rPr>
      </w:pPr>
      <w:bookmarkStart w:id="3" w:name="_Toc473905068"/>
      <w:r>
        <w:rPr>
          <w:rFonts w:hint="default" w:ascii="FreeSerif" w:hAnsi="FreeSerif" w:eastAsia="方正楷体_GBK" w:cs="FreeSerif"/>
          <w:b w:val="0"/>
          <w:kern w:val="0"/>
          <w:sz w:val="32"/>
          <w:szCs w:val="32"/>
        </w:rPr>
        <w:t>（二）形势研判</w:t>
      </w:r>
      <w:bookmarkEnd w:id="3"/>
      <w:r>
        <w:rPr>
          <w:rFonts w:hint="default" w:ascii="FreeSerif" w:hAnsi="FreeSerif" w:eastAsia="方正楷体_GBK" w:cs="FreeSerif"/>
          <w:b w:val="0"/>
          <w:kern w:val="0"/>
          <w:sz w:val="32"/>
          <w:szCs w:val="32"/>
          <w:lang w:eastAsia="zh-CN"/>
        </w:rPr>
        <w:t>。</w:t>
      </w:r>
      <w:r>
        <w:rPr>
          <w:rFonts w:hint="default" w:ascii="FreeSerif" w:hAnsi="FreeSerif" w:eastAsia="方正仿宋_GBK" w:cs="FreeSerif"/>
          <w:b w:val="0"/>
          <w:bCs w:val="0"/>
          <w:snapToGrid/>
          <w:kern w:val="2"/>
          <w:sz w:val="32"/>
          <w:szCs w:val="32"/>
          <w:lang w:val="en-US" w:eastAsia="zh-CN" w:bidi="ar"/>
        </w:rPr>
        <w:t>在习近平生态文明思想的指</w:t>
      </w:r>
      <w:r>
        <w:rPr>
          <w:rFonts w:hint="eastAsia" w:ascii="方正仿宋_GBK" w:hAnsi="方正仿宋_GBK" w:eastAsia="方正仿宋_GBK" w:cs="方正仿宋_GBK"/>
          <w:b w:val="0"/>
          <w:bCs w:val="0"/>
          <w:snapToGrid/>
          <w:kern w:val="2"/>
          <w:sz w:val="32"/>
          <w:szCs w:val="32"/>
          <w:lang w:val="en-US" w:eastAsia="zh-CN" w:bidi="ar"/>
        </w:rPr>
        <w:t>引下，“绿水青山就是金山银山”的理念不断深入人心，</w:t>
      </w:r>
      <w:r>
        <w:rPr>
          <w:rFonts w:hint="default" w:ascii="FreeSerif" w:hAnsi="FreeSerif" w:eastAsia="方正仿宋_GBK" w:cs="FreeSerif"/>
          <w:b w:val="0"/>
          <w:bCs w:val="0"/>
          <w:snapToGrid/>
          <w:kern w:val="2"/>
          <w:sz w:val="32"/>
          <w:szCs w:val="32"/>
          <w:lang w:val="en-US" w:eastAsia="zh-CN" w:bidi="ar"/>
        </w:rPr>
        <w:t>生态文明建设体制机制逐步健全，土壤、地下水与农业农村生态环境保护政策红利、制度红利不断释放，全社会保护生态环境的合力逐步形成。但生态环境保护结构性、根源性、趋势性压力总体上尚未根本缓解，到2035年实现土壤环境质量稳中向好、地下水环境质量总体改善的目标任务异常艰巨。</w:t>
      </w:r>
    </w:p>
    <w:p>
      <w:pPr>
        <w:keepNext w:val="0"/>
        <w:keepLines w:val="0"/>
        <w:widowControl w:val="0"/>
        <w:suppressLineNumbers w:val="0"/>
        <w:overflowPunct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仿宋_GBK" w:cs="FreeSerif"/>
          <w:kern w:val="2"/>
          <w:sz w:val="32"/>
          <w:szCs w:val="32"/>
        </w:rPr>
      </w:pPr>
      <w:r>
        <w:rPr>
          <w:rFonts w:hint="eastAsia" w:ascii="方正仿宋_GBK" w:hAnsi="方正仿宋_GBK" w:eastAsia="方正仿宋_GBK" w:cs="方正仿宋_GBK"/>
          <w:snapToGrid/>
          <w:kern w:val="2"/>
          <w:sz w:val="32"/>
          <w:szCs w:val="32"/>
          <w:lang w:val="en-US" w:eastAsia="zh-CN" w:bidi="ar"/>
        </w:rPr>
        <w:t>“十四五”时</w:t>
      </w:r>
      <w:r>
        <w:rPr>
          <w:rFonts w:hint="default" w:ascii="FreeSerif" w:hAnsi="FreeSerif" w:eastAsia="方正仿宋_GBK" w:cs="FreeSerif"/>
          <w:snapToGrid/>
          <w:kern w:val="2"/>
          <w:sz w:val="32"/>
          <w:szCs w:val="32"/>
          <w:lang w:val="en-US" w:eastAsia="zh-CN" w:bidi="ar"/>
        </w:rPr>
        <w:t>期，土壤和地下水生态环境保护形势依然严峻，农业绿色发展处于起步阶段，农业面源污染量大面广，局部区域农村环境质量不容乐观，主要体现在以下几个方面。</w:t>
      </w:r>
    </w:p>
    <w:p>
      <w:pPr>
        <w:keepNext w:val="0"/>
        <w:keepLines w:val="0"/>
        <w:widowControl w:val="0"/>
        <w:suppressLineNumbers w:val="0"/>
        <w:overflowPunct w:val="0"/>
        <w:autoSpaceDE w:val="0"/>
        <w:autoSpaceDN/>
        <w:adjustRightInd w:val="0"/>
        <w:snapToGrid w:val="0"/>
        <w:spacing w:before="0" w:beforeAutospacing="0" w:after="0" w:afterAutospacing="0" w:line="578" w:lineRule="exact"/>
        <w:ind w:left="0" w:right="0" w:firstLine="640" w:firstLineChars="200"/>
        <w:jc w:val="both"/>
        <w:rPr>
          <w:rFonts w:hint="default" w:ascii="FreeSerif" w:hAnsi="FreeSerif" w:eastAsia="方正仿宋_GBK" w:cs="FreeSerif"/>
          <w:kern w:val="2"/>
          <w:sz w:val="32"/>
          <w:szCs w:val="32"/>
        </w:rPr>
      </w:pPr>
      <w:r>
        <w:rPr>
          <w:rFonts w:hint="default" w:ascii="FreeSerif" w:hAnsi="FreeSerif" w:eastAsia="方正仿宋_GBK" w:cs="FreeSerif"/>
          <w:b w:val="0"/>
          <w:snapToGrid/>
          <w:kern w:val="2"/>
          <w:sz w:val="32"/>
          <w:szCs w:val="32"/>
          <w:lang w:val="en-US" w:eastAsia="zh-CN" w:bidi="ar"/>
        </w:rPr>
        <w:t>1．土壤环境风险压力大。</w:t>
      </w:r>
      <w:r>
        <w:rPr>
          <w:rFonts w:hint="default" w:ascii="FreeSerif" w:hAnsi="FreeSerif" w:eastAsia="方正仿宋_GBK" w:cs="FreeSerif"/>
          <w:snapToGrid/>
          <w:kern w:val="2"/>
          <w:sz w:val="32"/>
          <w:szCs w:val="32"/>
          <w:lang w:val="en-US" w:eastAsia="zh-CN" w:bidi="ar"/>
        </w:rPr>
        <w:t>土壤污染防治工作起步较晚，土壤环境监测、监管、治理技术能力依然薄弱。土壤污染状况调查、风险评估、治理修复、效果评估等机制还不完善，与新发展阶段土壤污染防治目标要求还有差距，建设用地准入管理有待深化。</w:t>
      </w:r>
    </w:p>
    <w:p>
      <w:pPr>
        <w:keepNext w:val="0"/>
        <w:keepLines w:val="0"/>
        <w:widowControl w:val="0"/>
        <w:suppressLineNumbers w:val="0"/>
        <w:overflowPunct w:val="0"/>
        <w:autoSpaceDE w:val="0"/>
        <w:autoSpaceDN/>
        <w:adjustRightInd w:val="0"/>
        <w:snapToGrid w:val="0"/>
        <w:spacing w:before="0" w:beforeAutospacing="0" w:after="0" w:afterAutospacing="0" w:line="578" w:lineRule="exact"/>
        <w:ind w:left="0" w:right="0" w:firstLine="640" w:firstLineChars="200"/>
        <w:jc w:val="both"/>
        <w:rPr>
          <w:rFonts w:hint="default" w:ascii="FreeSerif" w:hAnsi="FreeSerif" w:eastAsia="方正仿宋_GBK" w:cs="FreeSerif"/>
          <w:kern w:val="2"/>
          <w:sz w:val="32"/>
          <w:szCs w:val="32"/>
        </w:rPr>
      </w:pPr>
      <w:r>
        <w:rPr>
          <w:rFonts w:hint="default" w:ascii="FreeSerif" w:hAnsi="FreeSerif" w:eastAsia="方正仿宋_GBK" w:cs="FreeSerif"/>
          <w:b w:val="0"/>
          <w:snapToGrid/>
          <w:kern w:val="2"/>
          <w:sz w:val="32"/>
          <w:szCs w:val="32"/>
          <w:lang w:val="en-US" w:eastAsia="zh-CN" w:bidi="ar"/>
        </w:rPr>
        <w:t>2．地下水污染防治基础弱。</w:t>
      </w:r>
      <w:r>
        <w:rPr>
          <w:rFonts w:hint="default" w:ascii="FreeSerif" w:hAnsi="FreeSerif" w:eastAsia="方正仿宋_GBK" w:cs="FreeSerif"/>
          <w:snapToGrid/>
          <w:kern w:val="2"/>
          <w:sz w:val="32"/>
          <w:szCs w:val="32"/>
          <w:lang w:val="en-US" w:eastAsia="zh-CN" w:bidi="ar"/>
        </w:rPr>
        <w:t>地下水污染源环境状况底数不清，基础监测和风险预警体系不健全，污染源风险管控和治理修复难度大，地下水环境管理体系和防控机制尚未全面形成，地下水污染防治工作任务艰巨。</w:t>
      </w:r>
    </w:p>
    <w:p>
      <w:pPr>
        <w:keepNext w:val="0"/>
        <w:keepLines w:val="0"/>
        <w:widowControl w:val="0"/>
        <w:suppressLineNumbers w:val="0"/>
        <w:overflowPunct w:val="0"/>
        <w:autoSpaceDE w:val="0"/>
        <w:autoSpaceDN/>
        <w:adjustRightInd w:val="0"/>
        <w:snapToGrid w:val="0"/>
        <w:spacing w:before="0" w:beforeAutospacing="0" w:after="0" w:afterAutospacing="0" w:line="578" w:lineRule="exact"/>
        <w:ind w:left="0" w:right="0" w:firstLine="640" w:firstLineChars="200"/>
        <w:jc w:val="both"/>
        <w:rPr>
          <w:rFonts w:hint="default" w:ascii="FreeSerif" w:hAnsi="FreeSerif" w:eastAsia="方正仿宋_GBK" w:cs="FreeSerif"/>
          <w:kern w:val="2"/>
          <w:sz w:val="32"/>
          <w:szCs w:val="32"/>
        </w:rPr>
      </w:pPr>
      <w:r>
        <w:rPr>
          <w:rFonts w:hint="default" w:ascii="FreeSerif" w:hAnsi="FreeSerif" w:eastAsia="方正仿宋_GBK" w:cs="FreeSerif"/>
          <w:b w:val="0"/>
          <w:snapToGrid/>
          <w:kern w:val="2"/>
          <w:sz w:val="32"/>
          <w:szCs w:val="32"/>
          <w:lang w:val="en-US" w:eastAsia="zh-CN" w:bidi="ar"/>
        </w:rPr>
        <w:t>3．农业农村生态环境保护任务艰巨。</w:t>
      </w:r>
      <w:r>
        <w:rPr>
          <w:rFonts w:hint="default" w:ascii="FreeSerif" w:hAnsi="FreeSerif" w:eastAsia="方正仿宋_GBK" w:cs="FreeSerif"/>
          <w:snapToGrid/>
          <w:kern w:val="2"/>
          <w:sz w:val="32"/>
          <w:szCs w:val="32"/>
          <w:lang w:val="en-US" w:eastAsia="zh-CN" w:bidi="ar"/>
        </w:rPr>
        <w:t>农村环境是美丽乡村建设的突出短板，截至2020年年底，部分行政村未达到环境整治要求，已整治地区成效还不稳定。农村生活污水处理设施建设滞后，89</w:t>
      </w:r>
      <w:r>
        <w:rPr>
          <w:rFonts w:hint="default" w:ascii="FreeSerif" w:hAnsi="FreeSerif" w:eastAsia="CESI楷体-GB13000" w:cs="FreeSerif"/>
          <w:snapToGrid/>
          <w:kern w:val="2"/>
          <w:sz w:val="32"/>
          <w:szCs w:val="32"/>
          <w:lang w:val="en-US" w:eastAsia="zh-CN" w:bidi="ar"/>
        </w:rPr>
        <w:t>%</w:t>
      </w:r>
      <w:r>
        <w:rPr>
          <w:rFonts w:hint="default" w:ascii="FreeSerif" w:hAnsi="FreeSerif" w:eastAsia="方正仿宋_GBK" w:cs="FreeSerif"/>
          <w:snapToGrid/>
          <w:kern w:val="2"/>
          <w:sz w:val="32"/>
          <w:szCs w:val="32"/>
          <w:lang w:val="en-US" w:eastAsia="zh-CN" w:bidi="ar"/>
        </w:rPr>
        <w:t>的行政村未完成生活污水治理，资金投入严重缺乏、设施建设不规范、长效机制不健全，部分设施“晒太阳”。农业面源污染防治起步较晚、历史欠账多，面临着既要还旧账、又要不欠新账的双重压力。畜禽养殖场粪污处理和利用方式不够规范，粪污还田利用环境污染风险较大。我市化肥农药使用量仍然偏高，三大粮食作物化肥、农药利用率分别为40</w:t>
      </w:r>
      <w:r>
        <w:rPr>
          <w:rFonts w:hint="default" w:ascii="FreeSerif" w:hAnsi="FreeSerif" w:eastAsia="CESI楷体-GB13000" w:cs="FreeSerif"/>
          <w:snapToGrid/>
          <w:kern w:val="2"/>
          <w:sz w:val="32"/>
          <w:szCs w:val="32"/>
          <w:lang w:val="en-US" w:eastAsia="zh-CN" w:bidi="ar"/>
        </w:rPr>
        <w:t>%</w:t>
      </w:r>
      <w:r>
        <w:rPr>
          <w:rFonts w:hint="default" w:ascii="FreeSerif" w:hAnsi="FreeSerif" w:eastAsia="方正仿宋_GBK" w:cs="FreeSerif"/>
          <w:snapToGrid/>
          <w:kern w:val="2"/>
          <w:sz w:val="32"/>
          <w:szCs w:val="32"/>
          <w:lang w:val="en-US" w:eastAsia="zh-CN" w:bidi="ar"/>
        </w:rPr>
        <w:t>（试点实验地块）和40</w:t>
      </w:r>
      <w:r>
        <w:rPr>
          <w:rFonts w:hint="default" w:ascii="FreeSerif" w:hAnsi="FreeSerif" w:eastAsia="CESI楷体-GB13000" w:cs="FreeSerif"/>
          <w:snapToGrid/>
          <w:kern w:val="2"/>
          <w:sz w:val="32"/>
          <w:szCs w:val="32"/>
          <w:lang w:val="en-US" w:eastAsia="zh-CN" w:bidi="ar"/>
        </w:rPr>
        <w:t>%</w:t>
      </w:r>
      <w:r>
        <w:rPr>
          <w:rFonts w:hint="default" w:ascii="FreeSerif" w:hAnsi="FreeSerif" w:eastAsia="方正仿宋_GBK" w:cs="FreeSerif"/>
          <w:snapToGrid/>
          <w:kern w:val="2"/>
          <w:sz w:val="32"/>
          <w:szCs w:val="32"/>
          <w:lang w:val="en-US" w:eastAsia="zh-CN" w:bidi="ar"/>
        </w:rPr>
        <w:t>（试点实验地块），较发达国家低10</w:t>
      </w:r>
      <w:r>
        <w:rPr>
          <w:rFonts w:hint="eastAsia" w:ascii="FreeSerif" w:hAnsi="FreeSerif" w:eastAsia="方正仿宋_GBK" w:cs="FreeSerif"/>
          <w:snapToGrid/>
          <w:kern w:val="2"/>
          <w:sz w:val="32"/>
          <w:szCs w:val="32"/>
          <w:lang w:val="en-US" w:eastAsia="zh-CN" w:bidi="ar"/>
        </w:rPr>
        <w:t>～</w:t>
      </w:r>
      <w:bookmarkStart w:id="18" w:name="_GoBack"/>
      <w:bookmarkEnd w:id="18"/>
      <w:r>
        <w:rPr>
          <w:rFonts w:hint="default" w:ascii="FreeSerif" w:hAnsi="FreeSerif" w:eastAsia="方正仿宋_GBK" w:cs="FreeSerif"/>
          <w:snapToGrid/>
          <w:kern w:val="2"/>
          <w:sz w:val="32"/>
          <w:szCs w:val="32"/>
          <w:lang w:val="en-US" w:eastAsia="zh-CN" w:bidi="ar"/>
        </w:rPr>
        <w:t>20个百分点。氮肥等农业投入品过量施用，导致土壤酸化加重并加大农产品超标的风险。</w:t>
      </w:r>
    </w:p>
    <w:p>
      <w:pPr>
        <w:keepNext w:val="0"/>
        <w:keepLines w:val="0"/>
        <w:widowControl w:val="0"/>
        <w:suppressLineNumbers w:val="0"/>
        <w:overflowPunct w:val="0"/>
        <w:autoSpaceDE w:val="0"/>
        <w:autoSpaceDN/>
        <w:adjustRightInd w:val="0"/>
        <w:snapToGrid w:val="0"/>
        <w:spacing w:before="0" w:beforeAutospacing="0" w:after="0" w:afterAutospacing="0" w:line="578" w:lineRule="exact"/>
        <w:ind w:left="0" w:right="0" w:firstLine="640" w:firstLineChars="200"/>
        <w:jc w:val="both"/>
        <w:rPr>
          <w:rFonts w:hint="default" w:ascii="FreeSerif" w:hAnsi="FreeSerif" w:eastAsia="方正仿宋_GBK" w:cs="FreeSerif"/>
          <w:kern w:val="2"/>
          <w:sz w:val="32"/>
          <w:szCs w:val="32"/>
        </w:rPr>
      </w:pPr>
      <w:r>
        <w:rPr>
          <w:rFonts w:hint="default" w:ascii="FreeSerif" w:hAnsi="FreeSerif" w:eastAsia="方正仿宋_GBK" w:cs="FreeSerif"/>
          <w:b w:val="0"/>
          <w:snapToGrid/>
          <w:kern w:val="2"/>
          <w:sz w:val="32"/>
          <w:szCs w:val="32"/>
          <w:lang w:val="en-US" w:eastAsia="zh-CN" w:bidi="ar"/>
        </w:rPr>
        <w:t>4．环境监管能力依然薄弱。</w:t>
      </w:r>
      <w:r>
        <w:rPr>
          <w:rFonts w:hint="default" w:ascii="FreeSerif" w:hAnsi="FreeSerif" w:eastAsia="方正仿宋_GBK" w:cs="FreeSerif"/>
          <w:snapToGrid/>
          <w:kern w:val="2"/>
          <w:sz w:val="32"/>
          <w:szCs w:val="32"/>
          <w:lang w:val="en-US" w:eastAsia="zh-CN" w:bidi="ar"/>
        </w:rPr>
        <w:t>土壤与地下水污染风险管控和修复、农村饮用水水源地保护、农村生活污水垃圾治理、农业面源污染治理等监督管理体系尚不健全。土壤、地下水与农业农村生态环境监测能力薄弱，监测网络有待进一步完善，已有监测网分散在各部门，尚未形成统一监测体系。土壤、地下水与农业农村生态环境执法检查工作基础薄弱。地下水突发环境事件应急专家、技术、设备、材料等缺乏。现代化手段在土壤、地下水与农业农村污染防治决策支撑和环境监管中应用不足。土壤、地下水与农业农村生态环境管理技术水平有待进一步提升，人才队伍建设薄弱。对土壤与地下水污染风险管控和修复、农村生活污水垃圾治理、农业面源污染治理监管缺乏专业技术支撑队伍和有效治理模式经验，难以满足工作需要。</w:t>
      </w:r>
    </w:p>
    <w:p>
      <w:pPr>
        <w:keepNext w:val="0"/>
        <w:keepLines w:val="0"/>
        <w:widowControl w:val="0"/>
        <w:suppressLineNumbers w:val="0"/>
        <w:overflowPunct w:val="0"/>
        <w:autoSpaceDE w:val="0"/>
        <w:autoSpaceDN/>
        <w:adjustRightInd w:val="0"/>
        <w:snapToGrid w:val="0"/>
        <w:spacing w:before="0" w:beforeAutospacing="0" w:after="0" w:afterAutospacing="0" w:line="578" w:lineRule="exact"/>
        <w:ind w:left="0" w:right="0" w:firstLine="640" w:firstLineChars="200"/>
        <w:jc w:val="both"/>
        <w:rPr>
          <w:rFonts w:hint="eastAsia" w:ascii="方正仿宋_GBK" w:hAnsi="方正仿宋_GBK" w:eastAsia="方正仿宋_GBK" w:cs="方正仿宋_GBK"/>
          <w:kern w:val="2"/>
          <w:sz w:val="32"/>
          <w:szCs w:val="32"/>
        </w:rPr>
      </w:pPr>
      <w:r>
        <w:rPr>
          <w:rFonts w:hint="default" w:ascii="FreeSerif" w:hAnsi="FreeSerif" w:eastAsia="方正仿宋_GBK" w:cs="FreeSerif"/>
          <w:b w:val="0"/>
          <w:snapToGrid/>
          <w:kern w:val="2"/>
          <w:sz w:val="32"/>
          <w:szCs w:val="32"/>
          <w:lang w:val="en-US" w:eastAsia="zh-CN" w:bidi="ar"/>
        </w:rPr>
        <w:t>5．体制机制有待进一步完善。</w:t>
      </w:r>
      <w:r>
        <w:rPr>
          <w:rFonts w:hint="default" w:ascii="FreeSerif" w:hAnsi="FreeSerif" w:eastAsia="方正仿宋_GBK" w:cs="FreeSerif"/>
          <w:snapToGrid/>
          <w:kern w:val="2"/>
          <w:sz w:val="32"/>
          <w:szCs w:val="32"/>
          <w:lang w:val="en-US" w:eastAsia="zh-CN" w:bidi="ar"/>
        </w:rPr>
        <w:t>有关部门对土壤、地下水与农业农村生态环境保护重视程度不够，责任意识不强。部门间信息共享机制不健全，联动监管有待完善。工业企业土壤和地下水污染防治意识薄弱，生产经营中</w:t>
      </w:r>
      <w:r>
        <w:rPr>
          <w:rFonts w:hint="eastAsia" w:ascii="方正仿宋_GBK" w:hAnsi="方正仿宋_GBK" w:eastAsia="方正仿宋_GBK" w:cs="方正仿宋_GBK"/>
          <w:snapToGrid/>
          <w:kern w:val="2"/>
          <w:sz w:val="32"/>
          <w:szCs w:val="32"/>
          <w:lang w:val="en-US" w:eastAsia="zh-CN" w:bidi="ar"/>
        </w:rPr>
        <w:t>“重水、气，轻土壤及地下水”的情况普遍存在，未建立有效的土壤、地下水环境管理体系。农村环境基础设施用地用电优惠政策缺失，村民参与的积极性未能有效调动，农业面源污染防治、农村黑臭水体整治、农村生活污水治理等工作在统筹推进、信息共享、考核督导等方面尚未形成分工协作、齐抓共管的工作局面。</w:t>
      </w:r>
    </w:p>
    <w:p>
      <w:pPr>
        <w:keepNext w:val="0"/>
        <w:keepLines w:val="0"/>
        <w:widowControl w:val="0"/>
        <w:suppressLineNumbers w:val="0"/>
        <w:overflowPunct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仿宋_GBK" w:cs="FreeSerif"/>
          <w:kern w:val="2"/>
          <w:sz w:val="32"/>
          <w:szCs w:val="32"/>
        </w:rPr>
      </w:pPr>
      <w:r>
        <w:rPr>
          <w:rFonts w:hint="eastAsia" w:ascii="方正仿宋_GBK" w:hAnsi="方正仿宋_GBK" w:eastAsia="方正仿宋_GBK" w:cs="方正仿宋_GBK"/>
          <w:snapToGrid/>
          <w:kern w:val="2"/>
          <w:sz w:val="32"/>
          <w:szCs w:val="32"/>
          <w:lang w:val="en-US" w:eastAsia="zh-CN" w:bidi="ar"/>
        </w:rPr>
        <w:t>“十四五”期间，要充分利用新机遇、新条</w:t>
      </w:r>
      <w:r>
        <w:rPr>
          <w:rFonts w:hint="default" w:ascii="FreeSerif" w:hAnsi="FreeSerif" w:eastAsia="方正仿宋_GBK" w:cs="FreeSerif"/>
          <w:snapToGrid/>
          <w:kern w:val="2"/>
          <w:sz w:val="32"/>
          <w:szCs w:val="32"/>
          <w:lang w:val="en-US" w:eastAsia="zh-CN" w:bidi="ar"/>
        </w:rPr>
        <w:t>件，妥善应对各种风险和挑战，坚定推进土壤、地下水与农业农村生态环境保护，为实现美丽、平安、幸福白城目标奠定坚实基础。</w:t>
      </w:r>
    </w:p>
    <w:p>
      <w:pPr>
        <w:pStyle w:val="3"/>
        <w:keepNext w:val="0"/>
        <w:keepLines w:val="0"/>
        <w:widowControl w:val="0"/>
        <w:suppressLineNumbers w:val="0"/>
        <w:overflowPunct w:val="0"/>
        <w:autoSpaceDE w:val="0"/>
        <w:autoSpaceDN/>
        <w:adjustRightInd w:val="0"/>
        <w:snapToGrid w:val="0"/>
        <w:spacing w:line="578" w:lineRule="exact"/>
        <w:ind w:left="0" w:leftChars="0" w:firstLine="643"/>
        <w:jc w:val="both"/>
        <w:outlineLvl w:val="0"/>
        <w:rPr>
          <w:rFonts w:hint="default" w:ascii="FreeSerif" w:hAnsi="FreeSerif" w:eastAsia="方正黑体_GBK" w:cs="FreeSerif"/>
          <w:b w:val="0"/>
          <w:kern w:val="44"/>
          <w:sz w:val="32"/>
          <w:szCs w:val="32"/>
        </w:rPr>
      </w:pPr>
      <w:bookmarkStart w:id="4" w:name="_Toc1049120752"/>
      <w:r>
        <w:rPr>
          <w:rFonts w:hint="default" w:ascii="FreeSerif" w:hAnsi="FreeSerif" w:eastAsia="方正黑体_GBK" w:cs="FreeSerif"/>
          <w:b w:val="0"/>
          <w:kern w:val="44"/>
          <w:sz w:val="32"/>
          <w:szCs w:val="32"/>
        </w:rPr>
        <w:t>二、指导思想、基本原则、主要目标及防治重点</w:t>
      </w:r>
      <w:bookmarkEnd w:id="4"/>
    </w:p>
    <w:p>
      <w:pPr>
        <w:pStyle w:val="4"/>
        <w:keepNext w:val="0"/>
        <w:keepLines w:val="0"/>
        <w:widowControl w:val="0"/>
        <w:suppressLineNumbers w:val="0"/>
        <w:overflowPunct w:val="0"/>
        <w:autoSpaceDE w:val="0"/>
        <w:autoSpaceDN/>
        <w:adjustRightInd w:val="0"/>
        <w:snapToGrid w:val="0"/>
        <w:spacing w:line="578" w:lineRule="exact"/>
        <w:ind w:left="0" w:leftChars="0" w:firstLine="643"/>
        <w:jc w:val="both"/>
        <w:outlineLvl w:val="1"/>
        <w:rPr>
          <w:rFonts w:hint="default" w:ascii="FreeSerif" w:hAnsi="FreeSerif" w:eastAsia="方正仿宋_GBK" w:cs="FreeSerif"/>
          <w:b w:val="0"/>
          <w:kern w:val="2"/>
          <w:sz w:val="32"/>
          <w:szCs w:val="32"/>
        </w:rPr>
      </w:pPr>
      <w:bookmarkStart w:id="5" w:name="_Toc947068990"/>
      <w:r>
        <w:rPr>
          <w:rFonts w:hint="default" w:ascii="FreeSerif" w:hAnsi="FreeSerif" w:eastAsia="方正楷体_GBK" w:cs="FreeSerif"/>
          <w:b w:val="0"/>
          <w:kern w:val="0"/>
          <w:sz w:val="32"/>
          <w:szCs w:val="32"/>
        </w:rPr>
        <w:t>（一）指导思想</w:t>
      </w:r>
      <w:bookmarkEnd w:id="5"/>
      <w:r>
        <w:rPr>
          <w:rFonts w:hint="default" w:ascii="FreeSerif" w:hAnsi="FreeSerif" w:eastAsia="方正楷体_GBK" w:cs="FreeSerif"/>
          <w:b w:val="0"/>
          <w:kern w:val="0"/>
          <w:sz w:val="32"/>
          <w:szCs w:val="32"/>
          <w:lang w:eastAsia="zh-CN"/>
        </w:rPr>
        <w:t>。</w:t>
      </w:r>
      <w:r>
        <w:rPr>
          <w:rFonts w:hint="default" w:ascii="FreeSerif" w:hAnsi="FreeSerif" w:eastAsia="方正仿宋_GBK" w:cs="FreeSerif"/>
          <w:b w:val="0"/>
          <w:snapToGrid/>
          <w:kern w:val="2"/>
          <w:sz w:val="32"/>
          <w:szCs w:val="32"/>
          <w:lang w:val="en-US" w:eastAsia="zh-CN" w:bidi="ar"/>
        </w:rPr>
        <w:t>以习近平新时代中国特色社会主义思想为指导，全面贯彻党的二十大精神，大力推行习近平生态文明建设，贯彻以人民为中心的发展思想，牢固树立和践行绿水青山就是金山银山的理念，站在人与自然和谐共生的高度谋划发展。坚持山水林田湖草沙一体化保护和系统治理，统筹产业结构调整、污染治理、生态保护、应对气候变化，协同推进降碳、减污、扩绿、增长，推进生态优先、节约集约、绿色低碳发展。深入推进环境污染防治，持续深入打好净土保卫战，加强土壤污染源头防控，提升环境基础设施建设水平，推进城乡人居环境整治。响应人民群众对美好生态环境的新期待。</w:t>
      </w:r>
    </w:p>
    <w:p>
      <w:pPr>
        <w:pStyle w:val="4"/>
        <w:keepNext w:val="0"/>
        <w:keepLines w:val="0"/>
        <w:widowControl w:val="0"/>
        <w:suppressLineNumbers w:val="0"/>
        <w:overflowPunct w:val="0"/>
        <w:autoSpaceDE w:val="0"/>
        <w:autoSpaceDN/>
        <w:adjustRightInd w:val="0"/>
        <w:snapToGrid w:val="0"/>
        <w:spacing w:line="578" w:lineRule="exact"/>
        <w:ind w:left="0" w:leftChars="0" w:firstLine="643"/>
        <w:jc w:val="both"/>
        <w:outlineLvl w:val="1"/>
        <w:rPr>
          <w:rFonts w:hint="default" w:ascii="FreeSerif" w:hAnsi="FreeSerif" w:eastAsia="方正仿宋_GBK" w:cs="FreeSerif"/>
          <w:b w:val="0"/>
          <w:bCs/>
          <w:kern w:val="2"/>
          <w:sz w:val="32"/>
          <w:szCs w:val="32"/>
        </w:rPr>
      </w:pPr>
      <w:bookmarkStart w:id="6" w:name="_Toc771174618"/>
      <w:r>
        <w:rPr>
          <w:rFonts w:hint="default" w:ascii="FreeSerif" w:hAnsi="FreeSerif" w:eastAsia="方正楷体_GBK" w:cs="FreeSerif"/>
          <w:b w:val="0"/>
          <w:kern w:val="0"/>
          <w:sz w:val="32"/>
          <w:szCs w:val="32"/>
        </w:rPr>
        <w:t>（二）基本原则</w:t>
      </w:r>
      <w:bookmarkEnd w:id="6"/>
      <w:r>
        <w:rPr>
          <w:rFonts w:hint="default" w:ascii="FreeSerif" w:hAnsi="FreeSerif" w:eastAsia="方正楷体_GBK" w:cs="FreeSerif"/>
          <w:b w:val="0"/>
          <w:kern w:val="0"/>
          <w:sz w:val="32"/>
          <w:szCs w:val="32"/>
          <w:lang w:eastAsia="zh-CN"/>
        </w:rPr>
        <w:t>。</w:t>
      </w:r>
      <w:r>
        <w:rPr>
          <w:rFonts w:hint="default" w:ascii="FreeSerif" w:hAnsi="FreeSerif" w:eastAsia="方正仿宋_GBK" w:cs="FreeSerif"/>
          <w:b w:val="0"/>
          <w:bCs/>
          <w:kern w:val="0"/>
          <w:sz w:val="32"/>
          <w:szCs w:val="32"/>
          <w:lang w:eastAsia="zh-CN"/>
        </w:rPr>
        <w:t>一是</w:t>
      </w:r>
      <w:r>
        <w:rPr>
          <w:rFonts w:hint="default" w:ascii="FreeSerif" w:hAnsi="FreeSerif" w:eastAsia="方正仿宋_GBK" w:cs="FreeSerif"/>
          <w:b w:val="0"/>
          <w:bCs/>
          <w:snapToGrid/>
          <w:kern w:val="2"/>
          <w:sz w:val="32"/>
          <w:szCs w:val="32"/>
          <w:lang w:val="en-US" w:eastAsia="zh-CN" w:bidi="ar"/>
        </w:rPr>
        <w:t>保护优先，预防为主。理顺源头预防压力传导机制，倒逼落实溯源、断源、减排措施，切断污染物进入土壤、地下水环境的途径。强化农村环境整治，深入实施农药、化肥减量化，推进农业生产清洁化、产业模式生态化。二是系统治理，防控风险。打通地上和地下、城市和农村，协同水、气、固体废物污染治理，系统实施生态修复与环境治理。坚决守住农产品质量、人居环境和地下水生态环境安全底线，健全“发现问题、解决问题”风险管控机制。三是问题导向，精准施策。抓住重点区域、重点行业和重点污染物，聚焦突出环境问题，结合经济社会发展水平，因地制宜制定差异化土壤、地下水与农业农村污染防治措施，分类施策、分阶段整治。四是强化监管，依法治污。完善土壤、地下水与农业农村污染防治法规标准体系，加强执法能力建设，</w:t>
      </w:r>
      <w:r>
        <w:rPr>
          <w:rFonts w:hint="eastAsia" w:ascii="方正仿宋_GBK" w:hAnsi="方正仿宋_GBK" w:eastAsia="方正仿宋_GBK" w:cs="方正仿宋_GBK"/>
          <w:b w:val="0"/>
          <w:bCs/>
          <w:snapToGrid/>
          <w:kern w:val="2"/>
          <w:sz w:val="32"/>
          <w:szCs w:val="32"/>
          <w:lang w:val="en-US" w:eastAsia="zh-CN" w:bidi="ar"/>
        </w:rPr>
        <w:t>强化“污染者担责”</w:t>
      </w:r>
      <w:r>
        <w:rPr>
          <w:rFonts w:hint="default" w:ascii="FreeSerif" w:hAnsi="FreeSerif" w:eastAsia="方正仿宋_GBK" w:cs="FreeSerif"/>
          <w:b w:val="0"/>
          <w:bCs/>
          <w:snapToGrid/>
          <w:kern w:val="2"/>
          <w:sz w:val="32"/>
          <w:szCs w:val="32"/>
          <w:lang w:val="en-US" w:eastAsia="zh-CN" w:bidi="ar"/>
        </w:rPr>
        <w:t>。完善环境监测网络，健全污染防治大数据平台，提升污染治理科学化、智慧化水平，强化科技支撑能力。</w:t>
      </w:r>
    </w:p>
    <w:p>
      <w:pPr>
        <w:pStyle w:val="4"/>
        <w:keepNext w:val="0"/>
        <w:keepLines w:val="0"/>
        <w:widowControl w:val="0"/>
        <w:suppressLineNumbers w:val="0"/>
        <w:overflowPunct w:val="0"/>
        <w:autoSpaceDE w:val="0"/>
        <w:autoSpaceDN/>
        <w:adjustRightInd w:val="0"/>
        <w:snapToGrid w:val="0"/>
        <w:spacing w:line="578" w:lineRule="exact"/>
        <w:ind w:left="0" w:leftChars="0" w:firstLine="643"/>
        <w:jc w:val="both"/>
        <w:outlineLvl w:val="1"/>
        <w:rPr>
          <w:rFonts w:hint="default" w:ascii="FreeSerif" w:hAnsi="FreeSerif" w:eastAsia="方正仿宋_GBK" w:cs="FreeSerif"/>
          <w:b w:val="0"/>
          <w:bCs w:val="0"/>
          <w:kern w:val="2"/>
          <w:sz w:val="32"/>
          <w:szCs w:val="32"/>
        </w:rPr>
      </w:pPr>
      <w:bookmarkStart w:id="7" w:name="_Toc322267933"/>
      <w:r>
        <w:rPr>
          <w:rFonts w:hint="default" w:ascii="FreeSerif" w:hAnsi="FreeSerif" w:eastAsia="方正楷体_GBK" w:cs="FreeSerif"/>
          <w:b w:val="0"/>
          <w:kern w:val="0"/>
          <w:sz w:val="32"/>
          <w:szCs w:val="32"/>
        </w:rPr>
        <w:t>（三）主要目标</w:t>
      </w:r>
      <w:bookmarkEnd w:id="7"/>
      <w:r>
        <w:rPr>
          <w:rFonts w:hint="default" w:ascii="FreeSerif" w:hAnsi="FreeSerif" w:eastAsia="方正楷体_GBK" w:cs="FreeSerif"/>
          <w:b w:val="0"/>
          <w:kern w:val="0"/>
          <w:sz w:val="32"/>
          <w:szCs w:val="32"/>
          <w:lang w:eastAsia="zh-CN"/>
        </w:rPr>
        <w:t>。</w:t>
      </w:r>
      <w:r>
        <w:rPr>
          <w:rFonts w:hint="default" w:ascii="FreeSerif" w:hAnsi="FreeSerif" w:eastAsia="方正仿宋_GBK" w:cs="FreeSerif"/>
          <w:b w:val="0"/>
          <w:bCs w:val="0"/>
          <w:snapToGrid/>
          <w:kern w:val="2"/>
          <w:sz w:val="32"/>
          <w:szCs w:val="32"/>
          <w:lang w:val="en-US" w:eastAsia="zh-CN" w:bidi="ar"/>
        </w:rPr>
        <w:t>到2025年，全市土壤和地下水环境质量总体保持稳定，局部稳中向好，受污染耕地和重点建设用地安全利用得到巩固提升，进一步保障老</w:t>
      </w:r>
      <w:r>
        <w:rPr>
          <w:rFonts w:hint="eastAsia" w:ascii="方正仿宋_GBK" w:hAnsi="方正仿宋_GBK" w:eastAsia="方正仿宋_GBK" w:cs="方正仿宋_GBK"/>
          <w:b w:val="0"/>
          <w:bCs w:val="0"/>
          <w:snapToGrid/>
          <w:kern w:val="2"/>
          <w:sz w:val="32"/>
          <w:szCs w:val="32"/>
          <w:lang w:val="en-US" w:eastAsia="zh-CN" w:bidi="ar"/>
        </w:rPr>
        <w:t>百姓“吃得放心、住得安心”</w:t>
      </w:r>
      <w:r>
        <w:rPr>
          <w:rFonts w:hint="default" w:ascii="FreeSerif" w:hAnsi="FreeSerif" w:eastAsia="方正仿宋_GBK" w:cs="FreeSerif"/>
          <w:b w:val="0"/>
          <w:bCs w:val="0"/>
          <w:snapToGrid/>
          <w:kern w:val="2"/>
          <w:sz w:val="32"/>
          <w:szCs w:val="32"/>
          <w:lang w:val="en-US" w:eastAsia="zh-CN" w:bidi="ar"/>
        </w:rPr>
        <w:t>。基本建成地下水环境监测网。农业面源污染得到初步管控，农村生态环境基础设施建设加快推进，农村生态环境持续改善。</w:t>
      </w:r>
    </w:p>
    <w:p>
      <w:pPr>
        <w:keepNext w:val="0"/>
        <w:keepLines w:val="0"/>
        <w:widowControl w:val="0"/>
        <w:suppressLineNumbers w:val="0"/>
        <w:overflowPunct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仿宋_GBK" w:cs="FreeSerif"/>
          <w:kern w:val="2"/>
          <w:sz w:val="32"/>
          <w:szCs w:val="32"/>
        </w:rPr>
      </w:pPr>
      <w:r>
        <w:rPr>
          <w:rFonts w:hint="default" w:ascii="FreeSerif" w:hAnsi="FreeSerif" w:eastAsia="方正仿宋_GBK" w:cs="FreeSerif"/>
          <w:snapToGrid/>
          <w:kern w:val="2"/>
          <w:sz w:val="32"/>
          <w:szCs w:val="32"/>
          <w:lang w:val="en-US" w:eastAsia="zh-CN" w:bidi="ar"/>
        </w:rPr>
        <w:t>到2035年，全市土壤环境质量稳中向好，农用地和重点建设用地土壤环境安全得到有效保障，土壤环境风险得到全面管控。全市地下水环境质量保持稳定。农业面源污染得到有效遏制，农村生态环境基础设施得到完善，生态宜居的美丽乡村基本实现。</w:t>
      </w:r>
    </w:p>
    <w:p>
      <w:pPr>
        <w:pStyle w:val="10"/>
        <w:keepNext w:val="0"/>
        <w:keepLines w:val="0"/>
        <w:widowControl w:val="0"/>
        <w:suppressLineNumbers w:val="0"/>
        <w:overflowPunct w:val="0"/>
        <w:autoSpaceDE w:val="0"/>
        <w:autoSpaceDN/>
        <w:adjustRightInd w:val="0"/>
        <w:snapToGrid w:val="0"/>
        <w:spacing w:before="0" w:beforeAutospacing="0" w:after="0" w:afterAutospacing="0" w:line="440" w:lineRule="exact"/>
        <w:ind w:left="0" w:leftChars="0" w:right="0" w:firstLine="0" w:firstLineChars="0"/>
        <w:jc w:val="center"/>
        <w:rPr>
          <w:rFonts w:hint="default" w:ascii="FreeSerif" w:hAnsi="FreeSerif" w:eastAsia="方正黑体_GBK" w:cs="FreeSerif"/>
          <w:b w:val="0"/>
          <w:snapToGrid/>
          <w:kern w:val="0"/>
          <w:sz w:val="24"/>
          <w:szCs w:val="24"/>
          <w:lang w:val="en-US" w:eastAsia="zh-CN" w:bidi="ar"/>
        </w:rPr>
      </w:pPr>
    </w:p>
    <w:p>
      <w:pPr>
        <w:pStyle w:val="10"/>
        <w:keepNext w:val="0"/>
        <w:keepLines w:val="0"/>
        <w:widowControl w:val="0"/>
        <w:suppressLineNumbers w:val="0"/>
        <w:overflowPunct w:val="0"/>
        <w:autoSpaceDE w:val="0"/>
        <w:autoSpaceDN/>
        <w:adjustRightInd w:val="0"/>
        <w:snapToGrid w:val="0"/>
        <w:spacing w:before="0" w:beforeAutospacing="0" w:after="0" w:afterAutospacing="0" w:line="440" w:lineRule="exact"/>
        <w:ind w:left="0" w:leftChars="0" w:right="0" w:firstLine="0" w:firstLineChars="0"/>
        <w:jc w:val="center"/>
        <w:rPr>
          <w:rFonts w:hint="default" w:ascii="FreeSerif" w:hAnsi="FreeSerif" w:eastAsia="方正黑体_GBK" w:cs="FreeSerif"/>
          <w:b w:val="0"/>
          <w:snapToGrid/>
          <w:kern w:val="0"/>
          <w:sz w:val="24"/>
          <w:szCs w:val="24"/>
          <w:lang w:val="en-US" w:eastAsia="zh-CN" w:bidi="ar"/>
        </w:rPr>
      </w:pPr>
    </w:p>
    <w:p>
      <w:pPr>
        <w:pStyle w:val="10"/>
        <w:keepNext w:val="0"/>
        <w:keepLines w:val="0"/>
        <w:widowControl w:val="0"/>
        <w:suppressLineNumbers w:val="0"/>
        <w:overflowPunct w:val="0"/>
        <w:autoSpaceDE w:val="0"/>
        <w:autoSpaceDN/>
        <w:adjustRightInd w:val="0"/>
        <w:snapToGrid w:val="0"/>
        <w:spacing w:before="0" w:beforeAutospacing="0" w:after="0" w:afterAutospacing="0" w:line="440" w:lineRule="exact"/>
        <w:ind w:left="0" w:leftChars="0" w:right="0" w:firstLine="0" w:firstLineChars="0"/>
        <w:jc w:val="center"/>
        <w:rPr>
          <w:rFonts w:hint="default" w:ascii="FreeSerif" w:hAnsi="FreeSerif" w:eastAsia="方正黑体_GBK" w:cs="FreeSerif"/>
          <w:b w:val="0"/>
          <w:snapToGrid/>
          <w:kern w:val="0"/>
          <w:sz w:val="24"/>
          <w:szCs w:val="24"/>
          <w:lang w:val="en-US" w:eastAsia="zh-CN" w:bidi="ar"/>
        </w:rPr>
      </w:pPr>
    </w:p>
    <w:p>
      <w:pPr>
        <w:pStyle w:val="10"/>
        <w:keepNext w:val="0"/>
        <w:keepLines w:val="0"/>
        <w:widowControl w:val="0"/>
        <w:suppressLineNumbers w:val="0"/>
        <w:overflowPunct w:val="0"/>
        <w:autoSpaceDE w:val="0"/>
        <w:autoSpaceDN/>
        <w:adjustRightInd w:val="0"/>
        <w:snapToGrid w:val="0"/>
        <w:spacing w:before="0" w:beforeAutospacing="0" w:after="0" w:afterAutospacing="0" w:line="440" w:lineRule="exact"/>
        <w:ind w:left="0" w:leftChars="0" w:right="0" w:firstLine="0" w:firstLineChars="0"/>
        <w:jc w:val="center"/>
        <w:rPr>
          <w:rFonts w:hint="default" w:ascii="FreeSerif" w:hAnsi="FreeSerif" w:eastAsia="方正黑体_GBK" w:cs="FreeSerif"/>
          <w:b w:val="0"/>
          <w:snapToGrid/>
          <w:kern w:val="0"/>
          <w:sz w:val="24"/>
          <w:szCs w:val="24"/>
          <w:lang w:val="en-US" w:eastAsia="zh-CN" w:bidi="ar"/>
        </w:rPr>
      </w:pPr>
    </w:p>
    <w:p>
      <w:pPr>
        <w:pStyle w:val="10"/>
        <w:keepNext w:val="0"/>
        <w:keepLines w:val="0"/>
        <w:widowControl w:val="0"/>
        <w:suppressLineNumbers w:val="0"/>
        <w:overflowPunct w:val="0"/>
        <w:autoSpaceDE w:val="0"/>
        <w:autoSpaceDN/>
        <w:adjustRightInd w:val="0"/>
        <w:snapToGrid w:val="0"/>
        <w:spacing w:before="0" w:beforeAutospacing="0" w:after="0" w:afterAutospacing="0" w:line="440" w:lineRule="exact"/>
        <w:ind w:left="0" w:leftChars="0" w:right="0" w:firstLine="0" w:firstLineChars="0"/>
        <w:jc w:val="center"/>
        <w:rPr>
          <w:rFonts w:hint="default" w:ascii="FreeSerif" w:hAnsi="FreeSerif" w:eastAsia="方正黑体_GBK" w:cs="FreeSerif"/>
          <w:b w:val="0"/>
          <w:snapToGrid/>
          <w:kern w:val="0"/>
          <w:sz w:val="24"/>
          <w:szCs w:val="24"/>
          <w:lang w:val="en-US" w:eastAsia="zh-CN" w:bidi="ar"/>
        </w:rPr>
      </w:pPr>
    </w:p>
    <w:p>
      <w:pPr>
        <w:pStyle w:val="10"/>
        <w:keepNext w:val="0"/>
        <w:keepLines w:val="0"/>
        <w:widowControl w:val="0"/>
        <w:suppressLineNumbers w:val="0"/>
        <w:overflowPunct w:val="0"/>
        <w:autoSpaceDE w:val="0"/>
        <w:autoSpaceDN/>
        <w:adjustRightInd w:val="0"/>
        <w:snapToGrid w:val="0"/>
        <w:spacing w:before="0" w:beforeAutospacing="0" w:after="0" w:afterAutospacing="0" w:line="440" w:lineRule="exact"/>
        <w:ind w:left="0" w:leftChars="0" w:right="0" w:firstLine="0" w:firstLineChars="0"/>
        <w:jc w:val="center"/>
        <w:rPr>
          <w:rFonts w:hint="default" w:ascii="FreeSerif" w:hAnsi="FreeSerif" w:eastAsia="方正黑体_GBK" w:cs="FreeSerif"/>
          <w:b w:val="0"/>
          <w:snapToGrid/>
          <w:kern w:val="0"/>
          <w:sz w:val="24"/>
          <w:szCs w:val="24"/>
          <w:lang w:val="en-US" w:eastAsia="zh-CN" w:bidi="ar"/>
        </w:rPr>
      </w:pPr>
    </w:p>
    <w:p>
      <w:pPr>
        <w:pStyle w:val="10"/>
        <w:keepNext w:val="0"/>
        <w:keepLines w:val="0"/>
        <w:widowControl w:val="0"/>
        <w:suppressLineNumbers w:val="0"/>
        <w:overflowPunct w:val="0"/>
        <w:autoSpaceDE w:val="0"/>
        <w:autoSpaceDN/>
        <w:adjustRightInd w:val="0"/>
        <w:snapToGrid w:val="0"/>
        <w:spacing w:before="0" w:beforeAutospacing="0" w:after="0" w:afterAutospacing="0" w:line="440" w:lineRule="exact"/>
        <w:ind w:left="0" w:leftChars="0" w:right="0" w:firstLine="0" w:firstLineChars="0"/>
        <w:jc w:val="center"/>
        <w:rPr>
          <w:rFonts w:hint="default" w:ascii="FreeSerif" w:hAnsi="FreeSerif" w:eastAsia="方正黑体_GBK" w:cs="FreeSerif"/>
          <w:b w:val="0"/>
          <w:snapToGrid/>
          <w:kern w:val="0"/>
          <w:sz w:val="24"/>
          <w:szCs w:val="24"/>
          <w:lang w:val="en-US" w:eastAsia="zh-CN" w:bidi="ar"/>
        </w:rPr>
      </w:pPr>
    </w:p>
    <w:p>
      <w:pPr>
        <w:pStyle w:val="10"/>
        <w:keepNext w:val="0"/>
        <w:keepLines w:val="0"/>
        <w:widowControl w:val="0"/>
        <w:suppressLineNumbers w:val="0"/>
        <w:overflowPunct w:val="0"/>
        <w:autoSpaceDE w:val="0"/>
        <w:autoSpaceDN/>
        <w:adjustRightInd w:val="0"/>
        <w:snapToGrid w:val="0"/>
        <w:spacing w:before="0" w:beforeAutospacing="0" w:after="0" w:afterAutospacing="0" w:line="440" w:lineRule="exact"/>
        <w:ind w:left="0" w:leftChars="0" w:right="0" w:firstLine="0" w:firstLineChars="0"/>
        <w:jc w:val="center"/>
        <w:rPr>
          <w:rFonts w:hint="default" w:ascii="FreeSerif" w:hAnsi="FreeSerif" w:eastAsia="方正黑体_GBK" w:cs="FreeSerif"/>
          <w:b w:val="0"/>
          <w:kern w:val="0"/>
          <w:sz w:val="24"/>
          <w:szCs w:val="24"/>
          <w:vertAlign w:val="superscript"/>
        </w:rPr>
      </w:pPr>
      <w:r>
        <w:rPr>
          <w:rFonts w:hint="default" w:ascii="FreeSerif" w:hAnsi="FreeSerif" w:eastAsia="方正黑体_GBK" w:cs="FreeSerif"/>
          <w:b w:val="0"/>
          <w:snapToGrid/>
          <w:kern w:val="0"/>
          <w:sz w:val="24"/>
          <w:szCs w:val="24"/>
          <w:lang w:val="en-US" w:eastAsia="zh-CN" w:bidi="ar"/>
        </w:rPr>
        <w:t>表1  “十四五”土壤、地下水与农业农村生态环境保护主要指标</w:t>
      </w:r>
    </w:p>
    <w:tbl>
      <w:tblPr>
        <w:tblStyle w:val="11"/>
        <w:tblW w:w="50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2518"/>
        <w:gridCol w:w="1839"/>
        <w:gridCol w:w="2309"/>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998"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widowControl w:val="0"/>
              <w:suppressLineNumbers w:val="0"/>
              <w:overflowPunct w:val="0"/>
              <w:autoSpaceDE w:val="0"/>
              <w:autoSpaceDN/>
              <w:adjustRightInd w:val="0"/>
              <w:snapToGrid w:val="0"/>
              <w:spacing w:before="0" w:beforeAutospacing="0" w:after="100" w:afterAutospacing="1" w:line="0" w:lineRule="atLeast"/>
              <w:ind w:left="0" w:leftChars="0" w:right="0" w:firstLine="0" w:firstLineChars="0"/>
              <w:jc w:val="center"/>
              <w:rPr>
                <w:rFonts w:hint="default" w:ascii="FreeSerif" w:hAnsi="FreeSerif" w:eastAsia="方正黑体_GBK" w:cs="FreeSerif"/>
                <w:spacing w:val="0"/>
                <w:kern w:val="2"/>
                <w:sz w:val="20"/>
                <w:szCs w:val="20"/>
              </w:rPr>
            </w:pPr>
            <w:r>
              <w:rPr>
                <w:rFonts w:hint="default" w:ascii="FreeSerif" w:hAnsi="FreeSerif" w:eastAsia="方正黑体_GBK" w:cs="FreeSerif"/>
                <w:snapToGrid/>
                <w:spacing w:val="0"/>
                <w:kern w:val="2"/>
                <w:sz w:val="20"/>
                <w:szCs w:val="20"/>
                <w:lang w:val="en-US" w:eastAsia="zh-CN" w:bidi="ar"/>
              </w:rPr>
              <w:t>类型</w:t>
            </w:r>
          </w:p>
        </w:tc>
        <w:tc>
          <w:tcPr>
            <w:tcW w:w="2518" w:type="dxa"/>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overflowPunct w:val="0"/>
              <w:autoSpaceDE w:val="0"/>
              <w:autoSpaceDN/>
              <w:adjustRightInd w:val="0"/>
              <w:snapToGrid w:val="0"/>
              <w:spacing w:before="0" w:beforeAutospacing="0" w:after="100" w:afterAutospacing="1" w:line="0" w:lineRule="atLeast"/>
              <w:ind w:left="0" w:leftChars="0" w:right="0" w:firstLine="0" w:firstLineChars="0"/>
              <w:jc w:val="center"/>
              <w:rPr>
                <w:rFonts w:hint="default" w:ascii="FreeSerif" w:hAnsi="FreeSerif" w:eastAsia="方正黑体_GBK" w:cs="FreeSerif"/>
                <w:spacing w:val="0"/>
                <w:kern w:val="2"/>
                <w:sz w:val="20"/>
                <w:szCs w:val="20"/>
              </w:rPr>
            </w:pPr>
            <w:r>
              <w:rPr>
                <w:rFonts w:hint="default" w:ascii="FreeSerif" w:hAnsi="FreeSerif" w:eastAsia="方正黑体_GBK" w:cs="FreeSerif"/>
                <w:snapToGrid/>
                <w:spacing w:val="0"/>
                <w:kern w:val="2"/>
                <w:sz w:val="20"/>
                <w:szCs w:val="20"/>
                <w:lang w:val="en-US" w:eastAsia="zh-CN" w:bidi="ar"/>
              </w:rPr>
              <w:t>指标名称</w:t>
            </w:r>
          </w:p>
        </w:tc>
        <w:tc>
          <w:tcPr>
            <w:tcW w:w="1839" w:type="dxa"/>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overflowPunct w:val="0"/>
              <w:autoSpaceDE w:val="0"/>
              <w:autoSpaceDN/>
              <w:adjustRightInd w:val="0"/>
              <w:snapToGrid w:val="0"/>
              <w:spacing w:before="0" w:beforeAutospacing="0" w:after="100" w:afterAutospacing="1" w:line="0" w:lineRule="atLeast"/>
              <w:ind w:left="0" w:leftChars="0" w:right="0" w:firstLine="0" w:firstLineChars="0"/>
              <w:jc w:val="center"/>
              <w:rPr>
                <w:rFonts w:hint="default" w:ascii="FreeSerif" w:hAnsi="FreeSerif" w:eastAsia="方正黑体_GBK" w:cs="FreeSerif"/>
                <w:spacing w:val="0"/>
                <w:kern w:val="2"/>
                <w:sz w:val="20"/>
                <w:szCs w:val="20"/>
              </w:rPr>
            </w:pPr>
            <w:r>
              <w:rPr>
                <w:rFonts w:hint="default" w:ascii="FreeSerif" w:hAnsi="FreeSerif" w:eastAsia="方正黑体_GBK" w:cs="FreeSerif"/>
                <w:snapToGrid/>
                <w:spacing w:val="0"/>
                <w:kern w:val="2"/>
                <w:sz w:val="20"/>
                <w:szCs w:val="20"/>
                <w:lang w:val="en-US" w:eastAsia="zh-CN" w:bidi="ar"/>
              </w:rPr>
              <w:t>2020年（现状值）</w:t>
            </w:r>
          </w:p>
        </w:tc>
        <w:tc>
          <w:tcPr>
            <w:tcW w:w="2309" w:type="dxa"/>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overflowPunct w:val="0"/>
              <w:autoSpaceDE w:val="0"/>
              <w:autoSpaceDN/>
              <w:adjustRightInd w:val="0"/>
              <w:snapToGrid w:val="0"/>
              <w:spacing w:before="0" w:beforeAutospacing="0" w:after="100" w:afterAutospacing="1" w:line="0" w:lineRule="atLeast"/>
              <w:ind w:left="0" w:leftChars="0" w:right="0" w:firstLine="0" w:firstLineChars="0"/>
              <w:jc w:val="center"/>
              <w:rPr>
                <w:rFonts w:hint="default" w:ascii="FreeSerif" w:hAnsi="FreeSerif" w:eastAsia="方正黑体_GBK" w:cs="FreeSerif"/>
                <w:spacing w:val="0"/>
                <w:kern w:val="2"/>
                <w:sz w:val="20"/>
                <w:szCs w:val="20"/>
              </w:rPr>
            </w:pPr>
            <w:r>
              <w:rPr>
                <w:rFonts w:hint="default" w:ascii="FreeSerif" w:hAnsi="FreeSerif" w:eastAsia="方正黑体_GBK" w:cs="FreeSerif"/>
                <w:snapToGrid/>
                <w:spacing w:val="0"/>
                <w:kern w:val="2"/>
                <w:sz w:val="20"/>
                <w:szCs w:val="20"/>
                <w:lang w:val="en-US" w:eastAsia="zh-CN" w:bidi="ar"/>
              </w:rPr>
              <w:t>2025年</w:t>
            </w:r>
          </w:p>
        </w:tc>
        <w:tc>
          <w:tcPr>
            <w:tcW w:w="1304" w:type="dxa"/>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overflowPunct w:val="0"/>
              <w:autoSpaceDE w:val="0"/>
              <w:autoSpaceDN/>
              <w:adjustRightInd w:val="0"/>
              <w:snapToGrid w:val="0"/>
              <w:spacing w:before="0" w:beforeAutospacing="0" w:after="100" w:afterAutospacing="1" w:line="0" w:lineRule="atLeast"/>
              <w:ind w:left="0" w:leftChars="0" w:right="0" w:firstLine="0" w:firstLineChars="0"/>
              <w:jc w:val="center"/>
              <w:rPr>
                <w:rFonts w:hint="default" w:ascii="FreeSerif" w:hAnsi="FreeSerif" w:eastAsia="方正黑体_GBK" w:cs="FreeSerif"/>
                <w:spacing w:val="0"/>
                <w:kern w:val="2"/>
                <w:sz w:val="20"/>
                <w:szCs w:val="20"/>
              </w:rPr>
            </w:pPr>
            <w:r>
              <w:rPr>
                <w:rFonts w:hint="default" w:ascii="FreeSerif" w:hAnsi="FreeSerif" w:eastAsia="方正黑体_GBK" w:cs="FreeSerif"/>
                <w:snapToGrid/>
                <w:spacing w:val="0"/>
                <w:kern w:val="2"/>
                <w:sz w:val="20"/>
                <w:szCs w:val="20"/>
                <w:lang w:val="en-US" w:eastAsia="zh-CN" w:bidi="ar"/>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98" w:type="dxa"/>
            <w:vMerge w:val="restart"/>
            <w:tcBorders>
              <w:top w:val="nil"/>
              <w:left w:val="single" w:color="auto" w:sz="4" w:space="0"/>
              <w:bottom w:val="single" w:color="auto" w:sz="4" w:space="0"/>
              <w:right w:val="single" w:color="auto" w:sz="4" w:space="0"/>
            </w:tcBorders>
            <w:noWrap w:val="0"/>
            <w:vAlign w:val="center"/>
          </w:tcPr>
          <w:p>
            <w:pPr>
              <w:pStyle w:val="10"/>
              <w:keepNext w:val="0"/>
              <w:keepLines w:val="0"/>
              <w:widowControl w:val="0"/>
              <w:suppressLineNumbers w:val="0"/>
              <w:overflowPunct w:val="0"/>
              <w:autoSpaceDE w:val="0"/>
              <w:autoSpaceDN/>
              <w:adjustRightInd w:val="0"/>
              <w:snapToGrid w:val="0"/>
              <w:spacing w:before="100" w:beforeAutospacing="1" w:after="100" w:afterAutospacing="1" w:line="0" w:lineRule="atLeast"/>
              <w:ind w:left="0" w:leftChars="0" w:right="0" w:firstLine="0" w:firstLineChars="0"/>
              <w:jc w:val="center"/>
              <w:rPr>
                <w:rFonts w:hint="default" w:ascii="FreeSerif" w:hAnsi="FreeSerif" w:eastAsia="方正仿宋_GBK" w:cs="FreeSerif"/>
                <w:spacing w:val="0"/>
                <w:kern w:val="2"/>
                <w:sz w:val="18"/>
                <w:szCs w:val="18"/>
              </w:rPr>
            </w:pPr>
            <w:r>
              <w:rPr>
                <w:rFonts w:hint="default" w:ascii="FreeSerif" w:hAnsi="FreeSerif" w:eastAsia="方正仿宋_GBK" w:cs="FreeSerif"/>
                <w:snapToGrid/>
                <w:spacing w:val="0"/>
                <w:kern w:val="2"/>
                <w:sz w:val="18"/>
                <w:szCs w:val="18"/>
                <w:lang w:val="en-US" w:eastAsia="zh-CN" w:bidi="ar"/>
              </w:rPr>
              <w:t>土壤</w:t>
            </w:r>
          </w:p>
          <w:p>
            <w:pPr>
              <w:pStyle w:val="10"/>
              <w:keepNext w:val="0"/>
              <w:keepLines w:val="0"/>
              <w:widowControl w:val="0"/>
              <w:suppressLineNumbers w:val="0"/>
              <w:overflowPunct w:val="0"/>
              <w:autoSpaceDE w:val="0"/>
              <w:autoSpaceDN/>
              <w:adjustRightInd w:val="0"/>
              <w:snapToGrid w:val="0"/>
              <w:spacing w:before="100" w:beforeAutospacing="1" w:after="100" w:afterAutospacing="1" w:line="0" w:lineRule="atLeast"/>
              <w:ind w:left="0" w:leftChars="0" w:right="0" w:firstLine="0" w:firstLineChars="0"/>
              <w:jc w:val="center"/>
              <w:rPr>
                <w:rFonts w:hint="default" w:ascii="FreeSerif" w:hAnsi="FreeSerif" w:eastAsia="方正仿宋_GBK" w:cs="FreeSerif"/>
                <w:spacing w:val="0"/>
                <w:kern w:val="2"/>
                <w:sz w:val="18"/>
                <w:szCs w:val="18"/>
              </w:rPr>
            </w:pPr>
            <w:r>
              <w:rPr>
                <w:rFonts w:hint="default" w:ascii="FreeSerif" w:hAnsi="FreeSerif" w:eastAsia="方正仿宋_GBK" w:cs="FreeSerif"/>
                <w:snapToGrid/>
                <w:spacing w:val="0"/>
                <w:kern w:val="2"/>
                <w:sz w:val="18"/>
                <w:szCs w:val="18"/>
                <w:lang w:val="en-US" w:eastAsia="zh-CN" w:bidi="ar"/>
              </w:rPr>
              <w:t>生态环境</w:t>
            </w:r>
          </w:p>
        </w:tc>
        <w:tc>
          <w:tcPr>
            <w:tcW w:w="2518" w:type="dxa"/>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overflowPunct w:val="0"/>
              <w:autoSpaceDE w:val="0"/>
              <w:autoSpaceDN/>
              <w:adjustRightInd w:val="0"/>
              <w:snapToGrid w:val="0"/>
              <w:spacing w:before="100" w:beforeAutospacing="1" w:after="100" w:afterAutospacing="1" w:line="0" w:lineRule="atLeast"/>
              <w:ind w:left="0" w:leftChars="0" w:right="0" w:firstLine="0" w:firstLineChars="0"/>
              <w:jc w:val="center"/>
              <w:rPr>
                <w:rFonts w:hint="default" w:ascii="FreeSerif" w:hAnsi="FreeSerif" w:eastAsia="方正仿宋_GBK" w:cs="FreeSerif"/>
                <w:spacing w:val="0"/>
                <w:kern w:val="2"/>
                <w:sz w:val="18"/>
                <w:szCs w:val="18"/>
              </w:rPr>
            </w:pPr>
            <w:r>
              <w:rPr>
                <w:rFonts w:hint="default" w:ascii="FreeSerif" w:hAnsi="FreeSerif" w:eastAsia="方正仿宋_GBK" w:cs="FreeSerif"/>
                <w:snapToGrid/>
                <w:spacing w:val="0"/>
                <w:kern w:val="2"/>
                <w:sz w:val="18"/>
                <w:szCs w:val="18"/>
                <w:lang w:val="en-US" w:eastAsia="zh-CN" w:bidi="ar"/>
              </w:rPr>
              <w:t>受污染耕地安全利用率</w:t>
            </w:r>
          </w:p>
        </w:tc>
        <w:tc>
          <w:tcPr>
            <w:tcW w:w="1839" w:type="dxa"/>
            <w:tcBorders>
              <w:top w:val="single" w:color="auto" w:sz="4" w:space="0"/>
              <w:left w:val="nil"/>
              <w:bottom w:val="single" w:color="auto" w:sz="4" w:space="0"/>
              <w:right w:val="single" w:color="auto" w:sz="4" w:space="0"/>
            </w:tcBorders>
            <w:noWrap/>
            <w:vAlign w:val="center"/>
          </w:tcPr>
          <w:p>
            <w:pPr>
              <w:pStyle w:val="10"/>
              <w:keepNext w:val="0"/>
              <w:keepLines w:val="0"/>
              <w:widowControl w:val="0"/>
              <w:suppressLineNumbers w:val="0"/>
              <w:overflowPunct w:val="0"/>
              <w:autoSpaceDE w:val="0"/>
              <w:autoSpaceDN/>
              <w:adjustRightInd w:val="0"/>
              <w:snapToGrid w:val="0"/>
              <w:spacing w:before="100" w:beforeAutospacing="1" w:after="100" w:afterAutospacing="1" w:line="0" w:lineRule="atLeast"/>
              <w:ind w:left="0" w:leftChars="0" w:right="0" w:firstLine="0" w:firstLineChars="0"/>
              <w:jc w:val="center"/>
              <w:rPr>
                <w:rFonts w:hint="default" w:ascii="FreeSerif" w:hAnsi="FreeSerif" w:eastAsia="方正仿宋_GBK" w:cs="FreeSerif"/>
                <w:b w:val="0"/>
                <w:spacing w:val="0"/>
                <w:kern w:val="2"/>
                <w:sz w:val="18"/>
                <w:szCs w:val="18"/>
              </w:rPr>
            </w:pPr>
            <w:r>
              <w:rPr>
                <w:rFonts w:hint="default" w:ascii="FreeSerif" w:hAnsi="FreeSerif" w:eastAsia="方正仿宋_GBK" w:cs="FreeSerif"/>
                <w:b w:val="0"/>
                <w:snapToGrid/>
                <w:spacing w:val="0"/>
                <w:kern w:val="2"/>
                <w:sz w:val="18"/>
                <w:szCs w:val="18"/>
                <w:lang w:val="en-US" w:eastAsia="zh-CN" w:bidi="ar"/>
              </w:rPr>
              <w:t>90%以上</w:t>
            </w:r>
          </w:p>
        </w:tc>
        <w:tc>
          <w:tcPr>
            <w:tcW w:w="2309" w:type="dxa"/>
            <w:tcBorders>
              <w:top w:val="single" w:color="auto" w:sz="4" w:space="0"/>
              <w:left w:val="nil"/>
              <w:bottom w:val="single" w:color="auto" w:sz="4" w:space="0"/>
              <w:right w:val="single" w:color="auto" w:sz="4" w:space="0"/>
            </w:tcBorders>
            <w:noWrap/>
            <w:vAlign w:val="center"/>
          </w:tcPr>
          <w:p>
            <w:pPr>
              <w:pStyle w:val="10"/>
              <w:keepNext w:val="0"/>
              <w:keepLines w:val="0"/>
              <w:widowControl w:val="0"/>
              <w:suppressLineNumbers w:val="0"/>
              <w:overflowPunct w:val="0"/>
              <w:autoSpaceDE w:val="0"/>
              <w:autoSpaceDN/>
              <w:adjustRightInd w:val="0"/>
              <w:snapToGrid w:val="0"/>
              <w:spacing w:before="100" w:beforeAutospacing="1" w:after="100" w:afterAutospacing="1" w:line="0" w:lineRule="atLeast"/>
              <w:ind w:left="0" w:leftChars="0" w:right="0" w:firstLine="0" w:firstLineChars="0"/>
              <w:jc w:val="center"/>
              <w:rPr>
                <w:rFonts w:hint="default" w:ascii="FreeSerif" w:hAnsi="FreeSerif" w:eastAsia="方正仿宋_GBK" w:cs="FreeSerif"/>
                <w:b w:val="0"/>
                <w:spacing w:val="0"/>
                <w:kern w:val="2"/>
                <w:sz w:val="18"/>
                <w:szCs w:val="18"/>
              </w:rPr>
            </w:pPr>
            <w:r>
              <w:rPr>
                <w:rFonts w:hint="default" w:ascii="FreeSerif" w:hAnsi="FreeSerif" w:eastAsia="方正仿宋_GBK" w:cs="FreeSerif"/>
                <w:b w:val="0"/>
                <w:snapToGrid/>
                <w:spacing w:val="0"/>
                <w:kern w:val="2"/>
                <w:sz w:val="18"/>
                <w:szCs w:val="18"/>
                <w:lang w:val="en-US" w:eastAsia="zh-CN" w:bidi="ar"/>
              </w:rPr>
              <w:t>95.2%以上</w:t>
            </w:r>
          </w:p>
        </w:tc>
        <w:tc>
          <w:tcPr>
            <w:tcW w:w="1304" w:type="dxa"/>
            <w:tcBorders>
              <w:top w:val="single" w:color="auto" w:sz="4" w:space="0"/>
              <w:left w:val="nil"/>
              <w:bottom w:val="single" w:color="auto" w:sz="4" w:space="0"/>
              <w:right w:val="single" w:color="auto" w:sz="4" w:space="0"/>
            </w:tcBorders>
            <w:noWrap/>
            <w:vAlign w:val="center"/>
          </w:tcPr>
          <w:p>
            <w:pPr>
              <w:pStyle w:val="10"/>
              <w:keepNext w:val="0"/>
              <w:keepLines w:val="0"/>
              <w:widowControl w:val="0"/>
              <w:suppressLineNumbers w:val="0"/>
              <w:overflowPunct w:val="0"/>
              <w:autoSpaceDE w:val="0"/>
              <w:autoSpaceDN/>
              <w:adjustRightInd w:val="0"/>
              <w:snapToGrid w:val="0"/>
              <w:spacing w:before="100" w:beforeAutospacing="1" w:after="100" w:afterAutospacing="1" w:line="0" w:lineRule="atLeast"/>
              <w:ind w:left="0" w:leftChars="0" w:right="0" w:firstLine="0" w:firstLineChars="0"/>
              <w:jc w:val="center"/>
              <w:rPr>
                <w:rFonts w:hint="default" w:ascii="FreeSerif" w:hAnsi="FreeSerif" w:eastAsia="方正仿宋_GBK" w:cs="FreeSerif"/>
                <w:spacing w:val="0"/>
                <w:kern w:val="2"/>
                <w:sz w:val="18"/>
                <w:szCs w:val="18"/>
              </w:rPr>
            </w:pPr>
            <w:r>
              <w:rPr>
                <w:rFonts w:hint="default" w:ascii="FreeSerif" w:hAnsi="FreeSerif" w:eastAsia="方正仿宋_GBK" w:cs="FreeSerif"/>
                <w:snapToGrid/>
                <w:spacing w:val="0"/>
                <w:kern w:val="2"/>
                <w:sz w:val="18"/>
                <w:szCs w:val="18"/>
                <w:lang w:val="en-US" w:eastAsia="zh-CN"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98"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FreeSerif" w:hAnsi="FreeSerif" w:cs="FreeSerif"/>
                <w:sz w:val="20"/>
                <w:szCs w:val="20"/>
              </w:rPr>
            </w:pPr>
          </w:p>
        </w:tc>
        <w:tc>
          <w:tcPr>
            <w:tcW w:w="2518" w:type="dxa"/>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overflowPunct w:val="0"/>
              <w:autoSpaceDE w:val="0"/>
              <w:autoSpaceDN/>
              <w:adjustRightInd w:val="0"/>
              <w:snapToGrid w:val="0"/>
              <w:spacing w:before="100" w:beforeAutospacing="1" w:after="100" w:afterAutospacing="1" w:line="0" w:lineRule="atLeast"/>
              <w:ind w:left="0" w:leftChars="0" w:right="0" w:firstLine="0" w:firstLineChars="0"/>
              <w:jc w:val="center"/>
              <w:rPr>
                <w:rFonts w:hint="default" w:ascii="FreeSerif" w:hAnsi="FreeSerif" w:eastAsia="方正仿宋_GBK" w:cs="FreeSerif"/>
                <w:b w:val="0"/>
                <w:spacing w:val="0"/>
                <w:kern w:val="2"/>
                <w:sz w:val="18"/>
                <w:szCs w:val="18"/>
              </w:rPr>
            </w:pPr>
            <w:r>
              <w:rPr>
                <w:rFonts w:hint="default" w:ascii="FreeSerif" w:hAnsi="FreeSerif" w:eastAsia="方正仿宋_GBK" w:cs="FreeSerif"/>
                <w:b w:val="0"/>
                <w:snapToGrid/>
                <w:spacing w:val="0"/>
                <w:kern w:val="2"/>
                <w:sz w:val="18"/>
                <w:szCs w:val="18"/>
                <w:lang w:val="en-US" w:eastAsia="zh-CN" w:bidi="ar"/>
              </w:rPr>
              <w:t>重点建设用地</w:t>
            </w:r>
            <w:r>
              <w:rPr>
                <w:rFonts w:hint="default" w:ascii="FreeSerif" w:hAnsi="FreeSerif" w:eastAsia="方正仿宋_GBK" w:cs="FreeSerif"/>
                <w:b w:val="0"/>
                <w:snapToGrid/>
                <w:spacing w:val="0"/>
                <w:kern w:val="2"/>
                <w:sz w:val="18"/>
                <w:szCs w:val="18"/>
                <w:vertAlign w:val="superscript"/>
                <w:lang w:val="en-US" w:eastAsia="zh-CN" w:bidi="ar"/>
              </w:rPr>
              <w:t>1</w:t>
            </w:r>
            <w:r>
              <w:rPr>
                <w:rFonts w:hint="default" w:ascii="FreeSerif" w:hAnsi="FreeSerif" w:eastAsia="方正仿宋_GBK" w:cs="FreeSerif"/>
                <w:b w:val="0"/>
                <w:snapToGrid/>
                <w:spacing w:val="0"/>
                <w:kern w:val="2"/>
                <w:sz w:val="18"/>
                <w:szCs w:val="18"/>
                <w:lang w:val="en-US" w:eastAsia="zh-CN" w:bidi="ar"/>
              </w:rPr>
              <w:t>安全利用</w:t>
            </w:r>
          </w:p>
        </w:tc>
        <w:tc>
          <w:tcPr>
            <w:tcW w:w="1839" w:type="dxa"/>
            <w:tcBorders>
              <w:top w:val="single" w:color="auto" w:sz="4" w:space="0"/>
              <w:left w:val="nil"/>
              <w:bottom w:val="single" w:color="auto" w:sz="4" w:space="0"/>
              <w:right w:val="single" w:color="auto" w:sz="4" w:space="0"/>
            </w:tcBorders>
            <w:noWrap/>
            <w:vAlign w:val="center"/>
          </w:tcPr>
          <w:p>
            <w:pPr>
              <w:pStyle w:val="10"/>
              <w:keepNext w:val="0"/>
              <w:keepLines w:val="0"/>
              <w:widowControl w:val="0"/>
              <w:suppressLineNumbers w:val="0"/>
              <w:overflowPunct w:val="0"/>
              <w:autoSpaceDE w:val="0"/>
              <w:autoSpaceDN/>
              <w:adjustRightInd w:val="0"/>
              <w:snapToGrid w:val="0"/>
              <w:spacing w:before="100" w:beforeAutospacing="1" w:after="100" w:afterAutospacing="1" w:line="0" w:lineRule="atLeast"/>
              <w:ind w:left="0" w:leftChars="0" w:right="0" w:firstLine="0" w:firstLineChars="0"/>
              <w:jc w:val="center"/>
              <w:rPr>
                <w:rFonts w:hint="default" w:ascii="FreeSerif" w:hAnsi="FreeSerif" w:eastAsia="方正仿宋_GBK" w:cs="FreeSerif"/>
                <w:b w:val="0"/>
                <w:spacing w:val="0"/>
                <w:kern w:val="2"/>
                <w:sz w:val="18"/>
                <w:szCs w:val="18"/>
              </w:rPr>
            </w:pPr>
            <w:r>
              <w:rPr>
                <w:rFonts w:hint="default" w:ascii="FreeSerif" w:hAnsi="FreeSerif" w:eastAsia="方正仿宋_GBK" w:cs="FreeSerif"/>
                <w:b w:val="0"/>
                <w:snapToGrid/>
                <w:spacing w:val="0"/>
                <w:kern w:val="2"/>
                <w:sz w:val="18"/>
                <w:szCs w:val="18"/>
                <w:lang w:val="en-US" w:eastAsia="zh-CN" w:bidi="ar"/>
              </w:rPr>
              <w:t>——</w:t>
            </w:r>
          </w:p>
        </w:tc>
        <w:tc>
          <w:tcPr>
            <w:tcW w:w="2309" w:type="dxa"/>
            <w:tcBorders>
              <w:top w:val="single" w:color="auto" w:sz="4" w:space="0"/>
              <w:left w:val="nil"/>
              <w:bottom w:val="single" w:color="auto" w:sz="4" w:space="0"/>
              <w:right w:val="single" w:color="auto" w:sz="4" w:space="0"/>
            </w:tcBorders>
            <w:noWrap/>
            <w:vAlign w:val="center"/>
          </w:tcPr>
          <w:p>
            <w:pPr>
              <w:pStyle w:val="10"/>
              <w:keepNext w:val="0"/>
              <w:keepLines w:val="0"/>
              <w:widowControl w:val="0"/>
              <w:suppressLineNumbers w:val="0"/>
              <w:overflowPunct w:val="0"/>
              <w:autoSpaceDE w:val="0"/>
              <w:autoSpaceDN/>
              <w:adjustRightInd w:val="0"/>
              <w:snapToGrid w:val="0"/>
              <w:spacing w:before="100" w:beforeAutospacing="1" w:after="100" w:afterAutospacing="1" w:line="0" w:lineRule="atLeast"/>
              <w:ind w:left="0" w:leftChars="0" w:right="0" w:firstLine="0" w:firstLineChars="0"/>
              <w:jc w:val="center"/>
              <w:rPr>
                <w:rFonts w:hint="default" w:ascii="FreeSerif" w:hAnsi="FreeSerif" w:eastAsia="方正仿宋_GBK" w:cs="FreeSerif"/>
                <w:b w:val="0"/>
                <w:spacing w:val="0"/>
                <w:kern w:val="2"/>
                <w:sz w:val="18"/>
                <w:szCs w:val="18"/>
              </w:rPr>
            </w:pPr>
            <w:r>
              <w:rPr>
                <w:rFonts w:hint="default" w:ascii="FreeSerif" w:hAnsi="FreeSerif" w:eastAsia="方正仿宋_GBK" w:cs="FreeSerif"/>
                <w:b w:val="0"/>
                <w:snapToGrid/>
                <w:spacing w:val="0"/>
                <w:kern w:val="2"/>
                <w:sz w:val="18"/>
                <w:szCs w:val="18"/>
                <w:lang w:val="en-US" w:eastAsia="zh-CN" w:bidi="ar"/>
              </w:rPr>
              <w:t>有效保障</w:t>
            </w:r>
          </w:p>
        </w:tc>
        <w:tc>
          <w:tcPr>
            <w:tcW w:w="1304" w:type="dxa"/>
            <w:tcBorders>
              <w:top w:val="single" w:color="auto" w:sz="4" w:space="0"/>
              <w:left w:val="nil"/>
              <w:bottom w:val="single" w:color="auto" w:sz="4" w:space="0"/>
              <w:right w:val="single" w:color="auto" w:sz="4" w:space="0"/>
            </w:tcBorders>
            <w:noWrap/>
            <w:vAlign w:val="center"/>
          </w:tcPr>
          <w:p>
            <w:pPr>
              <w:pStyle w:val="10"/>
              <w:keepNext w:val="0"/>
              <w:keepLines w:val="0"/>
              <w:widowControl w:val="0"/>
              <w:suppressLineNumbers w:val="0"/>
              <w:overflowPunct w:val="0"/>
              <w:autoSpaceDE w:val="0"/>
              <w:autoSpaceDN/>
              <w:adjustRightInd w:val="0"/>
              <w:snapToGrid w:val="0"/>
              <w:spacing w:before="100" w:beforeAutospacing="1" w:after="100" w:afterAutospacing="1" w:line="0" w:lineRule="atLeast"/>
              <w:ind w:left="0" w:leftChars="0" w:right="0" w:firstLine="0" w:firstLineChars="0"/>
              <w:jc w:val="center"/>
              <w:rPr>
                <w:rFonts w:hint="default" w:ascii="FreeSerif" w:hAnsi="FreeSerif" w:eastAsia="方正仿宋_GBK" w:cs="FreeSerif"/>
                <w:spacing w:val="0"/>
                <w:kern w:val="2"/>
                <w:sz w:val="18"/>
                <w:szCs w:val="18"/>
              </w:rPr>
            </w:pPr>
            <w:r>
              <w:rPr>
                <w:rFonts w:hint="default" w:ascii="FreeSerif" w:hAnsi="FreeSerif" w:eastAsia="方正仿宋_GBK" w:cs="FreeSerif"/>
                <w:snapToGrid/>
                <w:spacing w:val="0"/>
                <w:kern w:val="2"/>
                <w:sz w:val="18"/>
                <w:szCs w:val="18"/>
                <w:lang w:val="en-US" w:eastAsia="zh-CN"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98" w:type="dxa"/>
            <w:vMerge w:val="restart"/>
            <w:tcBorders>
              <w:top w:val="nil"/>
              <w:left w:val="single" w:color="auto" w:sz="4" w:space="0"/>
              <w:bottom w:val="single" w:color="auto" w:sz="4" w:space="0"/>
              <w:right w:val="single" w:color="auto" w:sz="4" w:space="0"/>
            </w:tcBorders>
            <w:noWrap w:val="0"/>
            <w:vAlign w:val="center"/>
          </w:tcPr>
          <w:p>
            <w:pPr>
              <w:pStyle w:val="10"/>
              <w:keepNext w:val="0"/>
              <w:keepLines w:val="0"/>
              <w:widowControl w:val="0"/>
              <w:suppressLineNumbers w:val="0"/>
              <w:overflowPunct w:val="0"/>
              <w:autoSpaceDE w:val="0"/>
              <w:autoSpaceDN/>
              <w:adjustRightInd w:val="0"/>
              <w:snapToGrid w:val="0"/>
              <w:spacing w:before="100" w:beforeAutospacing="1" w:after="100" w:afterAutospacing="1" w:line="0" w:lineRule="atLeast"/>
              <w:ind w:left="0" w:leftChars="0" w:right="0" w:firstLine="0" w:firstLineChars="0"/>
              <w:jc w:val="center"/>
              <w:rPr>
                <w:rFonts w:hint="default" w:ascii="FreeSerif" w:hAnsi="FreeSerif" w:eastAsia="方正仿宋_GBK" w:cs="FreeSerif"/>
                <w:spacing w:val="0"/>
                <w:kern w:val="2"/>
                <w:sz w:val="18"/>
                <w:szCs w:val="18"/>
              </w:rPr>
            </w:pPr>
            <w:r>
              <w:rPr>
                <w:rFonts w:hint="default" w:ascii="FreeSerif" w:hAnsi="FreeSerif" w:eastAsia="方正仿宋_GBK" w:cs="FreeSerif"/>
                <w:snapToGrid/>
                <w:spacing w:val="0"/>
                <w:kern w:val="2"/>
                <w:sz w:val="18"/>
                <w:szCs w:val="18"/>
                <w:lang w:val="en-US" w:eastAsia="zh-CN" w:bidi="ar"/>
              </w:rPr>
              <w:t>地下水</w:t>
            </w:r>
          </w:p>
          <w:p>
            <w:pPr>
              <w:pStyle w:val="10"/>
              <w:keepNext w:val="0"/>
              <w:keepLines w:val="0"/>
              <w:widowControl w:val="0"/>
              <w:suppressLineNumbers w:val="0"/>
              <w:overflowPunct w:val="0"/>
              <w:autoSpaceDE w:val="0"/>
              <w:autoSpaceDN/>
              <w:adjustRightInd w:val="0"/>
              <w:snapToGrid w:val="0"/>
              <w:spacing w:before="100" w:beforeAutospacing="1" w:after="100" w:afterAutospacing="1" w:line="0" w:lineRule="atLeast"/>
              <w:ind w:left="0" w:leftChars="0" w:right="0" w:firstLine="0" w:firstLineChars="0"/>
              <w:jc w:val="center"/>
              <w:rPr>
                <w:rFonts w:hint="default" w:ascii="FreeSerif" w:hAnsi="FreeSerif" w:eastAsia="方正仿宋_GBK" w:cs="FreeSerif"/>
                <w:spacing w:val="0"/>
                <w:kern w:val="2"/>
                <w:sz w:val="18"/>
                <w:szCs w:val="18"/>
              </w:rPr>
            </w:pPr>
            <w:r>
              <w:rPr>
                <w:rFonts w:hint="default" w:ascii="FreeSerif" w:hAnsi="FreeSerif" w:eastAsia="方正仿宋_GBK" w:cs="FreeSerif"/>
                <w:snapToGrid/>
                <w:spacing w:val="0"/>
                <w:kern w:val="2"/>
                <w:sz w:val="18"/>
                <w:szCs w:val="18"/>
                <w:lang w:val="en-US" w:eastAsia="zh-CN" w:bidi="ar"/>
              </w:rPr>
              <w:t>生态环境</w:t>
            </w:r>
          </w:p>
        </w:tc>
        <w:tc>
          <w:tcPr>
            <w:tcW w:w="2518"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0" w:lineRule="atLeast"/>
              <w:ind w:left="0" w:leftChars="0" w:right="0" w:firstLine="0" w:firstLineChars="0"/>
              <w:jc w:val="center"/>
              <w:textAlignment w:val="auto"/>
              <w:rPr>
                <w:rFonts w:hint="default" w:ascii="FreeSerif" w:hAnsi="FreeSerif" w:eastAsia="方正仿宋_GBK" w:cs="FreeSerif"/>
                <w:b w:val="0"/>
                <w:spacing w:val="0"/>
                <w:kern w:val="2"/>
                <w:sz w:val="18"/>
                <w:szCs w:val="18"/>
              </w:rPr>
            </w:pPr>
            <w:r>
              <w:rPr>
                <w:rFonts w:hint="default" w:ascii="FreeSerif" w:hAnsi="FreeSerif" w:eastAsia="方正仿宋_GBK" w:cs="FreeSerif"/>
                <w:b w:val="0"/>
                <w:snapToGrid/>
                <w:spacing w:val="0"/>
                <w:kern w:val="2"/>
                <w:sz w:val="18"/>
                <w:szCs w:val="18"/>
                <w:lang w:val="en-US" w:eastAsia="zh-CN" w:bidi="ar"/>
              </w:rPr>
              <w:t>地下水国控点位</w:t>
            </w:r>
          </w:p>
          <w:p>
            <w:pPr>
              <w:pStyle w:val="10"/>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0" w:lineRule="atLeast"/>
              <w:ind w:left="0" w:leftChars="0" w:right="0" w:firstLine="0" w:firstLineChars="0"/>
              <w:jc w:val="center"/>
              <w:textAlignment w:val="auto"/>
              <w:rPr>
                <w:rFonts w:hint="default" w:ascii="FreeSerif" w:hAnsi="FreeSerif" w:eastAsia="方正仿宋_GBK" w:cs="FreeSerif"/>
                <w:b w:val="0"/>
                <w:spacing w:val="0"/>
                <w:kern w:val="2"/>
                <w:sz w:val="18"/>
                <w:szCs w:val="18"/>
              </w:rPr>
            </w:pPr>
            <w:r>
              <w:rPr>
                <w:rFonts w:hint="default" w:ascii="FreeSerif" w:hAnsi="FreeSerif" w:eastAsia="方正仿宋_GBK" w:cs="FreeSerif"/>
                <w:b w:val="0"/>
                <w:snapToGrid/>
                <w:spacing w:val="0"/>
                <w:kern w:val="2"/>
                <w:sz w:val="18"/>
                <w:szCs w:val="18"/>
                <w:lang w:val="en-US" w:eastAsia="zh-CN" w:bidi="ar"/>
              </w:rPr>
              <w:t>V类水比例</w:t>
            </w:r>
            <w:r>
              <w:rPr>
                <w:rFonts w:hint="default" w:ascii="FreeSerif" w:hAnsi="FreeSerif" w:eastAsia="方正仿宋_GBK" w:cs="FreeSerif"/>
                <w:b w:val="0"/>
                <w:snapToGrid/>
                <w:spacing w:val="0"/>
                <w:kern w:val="2"/>
                <w:sz w:val="18"/>
                <w:szCs w:val="18"/>
                <w:vertAlign w:val="superscript"/>
                <w:lang w:val="en-US" w:eastAsia="zh-CN" w:bidi="ar"/>
              </w:rPr>
              <w:t>2</w:t>
            </w:r>
          </w:p>
        </w:tc>
        <w:tc>
          <w:tcPr>
            <w:tcW w:w="1839" w:type="dxa"/>
            <w:tcBorders>
              <w:top w:val="single" w:color="auto" w:sz="4" w:space="0"/>
              <w:left w:val="nil"/>
              <w:bottom w:val="single" w:color="auto" w:sz="4" w:space="0"/>
              <w:right w:val="single" w:color="auto" w:sz="4" w:space="0"/>
            </w:tcBorders>
            <w:noWrap/>
            <w:vAlign w:val="center"/>
          </w:tcPr>
          <w:p>
            <w:pPr>
              <w:pStyle w:val="10"/>
              <w:keepNext w:val="0"/>
              <w:keepLines w:val="0"/>
              <w:widowControl w:val="0"/>
              <w:suppressLineNumbers w:val="0"/>
              <w:overflowPunct w:val="0"/>
              <w:autoSpaceDE w:val="0"/>
              <w:autoSpaceDN/>
              <w:adjustRightInd w:val="0"/>
              <w:snapToGrid w:val="0"/>
              <w:spacing w:before="100" w:beforeAutospacing="1" w:after="100" w:afterAutospacing="1" w:line="0" w:lineRule="atLeast"/>
              <w:ind w:left="0" w:leftChars="0" w:right="0" w:firstLine="0" w:firstLineChars="0"/>
              <w:jc w:val="center"/>
              <w:rPr>
                <w:rFonts w:hint="default" w:ascii="FreeSerif" w:hAnsi="FreeSerif" w:eastAsia="方正仿宋_GBK" w:cs="FreeSerif"/>
                <w:b w:val="0"/>
                <w:spacing w:val="0"/>
                <w:kern w:val="2"/>
                <w:sz w:val="18"/>
                <w:szCs w:val="18"/>
              </w:rPr>
            </w:pPr>
            <w:r>
              <w:rPr>
                <w:rFonts w:hint="default" w:ascii="FreeSerif" w:hAnsi="FreeSerif" w:eastAsia="方正仿宋_GBK" w:cs="FreeSerif"/>
                <w:b w:val="0"/>
                <w:snapToGrid/>
                <w:spacing w:val="0"/>
                <w:kern w:val="2"/>
                <w:sz w:val="18"/>
                <w:szCs w:val="18"/>
                <w:lang w:val="en-US" w:eastAsia="zh-CN" w:bidi="ar"/>
              </w:rPr>
              <w:t>25%左右</w:t>
            </w:r>
          </w:p>
        </w:tc>
        <w:tc>
          <w:tcPr>
            <w:tcW w:w="2309" w:type="dxa"/>
            <w:tcBorders>
              <w:top w:val="single" w:color="auto" w:sz="4" w:space="0"/>
              <w:left w:val="nil"/>
              <w:bottom w:val="single" w:color="auto" w:sz="4" w:space="0"/>
              <w:right w:val="single" w:color="auto" w:sz="4" w:space="0"/>
            </w:tcBorders>
            <w:noWrap/>
            <w:vAlign w:val="center"/>
          </w:tcPr>
          <w:p>
            <w:pPr>
              <w:pStyle w:val="10"/>
              <w:keepNext w:val="0"/>
              <w:keepLines w:val="0"/>
              <w:widowControl w:val="0"/>
              <w:suppressLineNumbers w:val="0"/>
              <w:overflowPunct w:val="0"/>
              <w:autoSpaceDE w:val="0"/>
              <w:autoSpaceDN/>
              <w:adjustRightInd w:val="0"/>
              <w:snapToGrid w:val="0"/>
              <w:spacing w:before="100" w:beforeAutospacing="1" w:after="100" w:afterAutospacing="1" w:line="0" w:lineRule="atLeast"/>
              <w:ind w:left="0" w:leftChars="0" w:right="0" w:firstLine="0" w:firstLineChars="0"/>
              <w:jc w:val="center"/>
              <w:rPr>
                <w:rFonts w:hint="default" w:ascii="FreeSerif" w:hAnsi="FreeSerif" w:eastAsia="方正仿宋_GBK" w:cs="FreeSerif"/>
                <w:b w:val="0"/>
                <w:spacing w:val="0"/>
                <w:kern w:val="2"/>
                <w:sz w:val="18"/>
                <w:szCs w:val="18"/>
              </w:rPr>
            </w:pPr>
            <w:r>
              <w:rPr>
                <w:rFonts w:hint="default" w:ascii="FreeSerif" w:hAnsi="FreeSerif" w:eastAsia="方正仿宋_GBK" w:cs="FreeSerif"/>
                <w:b w:val="0"/>
                <w:snapToGrid/>
                <w:spacing w:val="0"/>
                <w:kern w:val="2"/>
                <w:sz w:val="18"/>
                <w:szCs w:val="18"/>
                <w:lang w:val="en-US" w:eastAsia="zh-CN" w:bidi="ar"/>
              </w:rPr>
              <w:t>33.3%左右</w:t>
            </w:r>
          </w:p>
        </w:tc>
        <w:tc>
          <w:tcPr>
            <w:tcW w:w="1304" w:type="dxa"/>
            <w:tcBorders>
              <w:top w:val="single" w:color="auto" w:sz="4" w:space="0"/>
              <w:left w:val="nil"/>
              <w:bottom w:val="single" w:color="auto" w:sz="4" w:space="0"/>
              <w:right w:val="single" w:color="auto" w:sz="4" w:space="0"/>
            </w:tcBorders>
            <w:noWrap/>
            <w:vAlign w:val="center"/>
          </w:tcPr>
          <w:p>
            <w:pPr>
              <w:pStyle w:val="10"/>
              <w:keepNext w:val="0"/>
              <w:keepLines w:val="0"/>
              <w:widowControl w:val="0"/>
              <w:suppressLineNumbers w:val="0"/>
              <w:overflowPunct w:val="0"/>
              <w:autoSpaceDE w:val="0"/>
              <w:autoSpaceDN/>
              <w:adjustRightInd w:val="0"/>
              <w:snapToGrid w:val="0"/>
              <w:spacing w:before="100" w:beforeAutospacing="1" w:after="100" w:afterAutospacing="1" w:line="0" w:lineRule="atLeast"/>
              <w:ind w:left="0" w:leftChars="0" w:right="0" w:firstLine="0" w:firstLineChars="0"/>
              <w:jc w:val="center"/>
              <w:rPr>
                <w:rFonts w:hint="default" w:ascii="FreeSerif" w:hAnsi="FreeSerif" w:eastAsia="方正仿宋_GBK" w:cs="FreeSerif"/>
                <w:spacing w:val="0"/>
                <w:kern w:val="2"/>
                <w:sz w:val="18"/>
                <w:szCs w:val="18"/>
              </w:rPr>
            </w:pPr>
            <w:r>
              <w:rPr>
                <w:rFonts w:hint="default" w:ascii="FreeSerif" w:hAnsi="FreeSerif" w:eastAsia="方正仿宋_GBK" w:cs="FreeSerif"/>
                <w:snapToGrid/>
                <w:spacing w:val="0"/>
                <w:kern w:val="2"/>
                <w:sz w:val="18"/>
                <w:szCs w:val="18"/>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98"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FreeSerif" w:hAnsi="FreeSerif" w:cs="FreeSerif"/>
                <w:sz w:val="20"/>
                <w:szCs w:val="20"/>
              </w:rPr>
            </w:pPr>
          </w:p>
        </w:tc>
        <w:tc>
          <w:tcPr>
            <w:tcW w:w="2518" w:type="dxa"/>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overflowPunct w:val="0"/>
              <w:autoSpaceDE w:val="0"/>
              <w:autoSpaceDN/>
              <w:adjustRightInd w:val="0"/>
              <w:snapToGrid w:val="0"/>
              <w:spacing w:before="100" w:beforeAutospacing="1" w:after="100" w:afterAutospacing="1" w:line="0" w:lineRule="atLeast"/>
              <w:ind w:left="0" w:leftChars="0" w:right="0" w:firstLine="0" w:firstLineChars="0"/>
              <w:jc w:val="center"/>
              <w:rPr>
                <w:rFonts w:hint="default" w:ascii="FreeSerif" w:hAnsi="FreeSerif" w:eastAsia="方正仿宋_GBK" w:cs="FreeSerif"/>
                <w:b w:val="0"/>
                <w:spacing w:val="0"/>
                <w:kern w:val="2"/>
                <w:sz w:val="18"/>
                <w:szCs w:val="18"/>
              </w:rPr>
            </w:pPr>
            <w:r>
              <w:rPr>
                <w:rFonts w:hint="default" w:ascii="FreeSerif" w:hAnsi="FreeSerif" w:eastAsia="方正仿宋_GBK" w:cs="FreeSerif"/>
                <w:b w:val="0"/>
                <w:snapToGrid/>
                <w:spacing w:val="0"/>
                <w:kern w:val="2"/>
                <w:sz w:val="18"/>
                <w:szCs w:val="18"/>
                <w:lang w:val="en-US" w:eastAsia="zh-CN" w:bidi="ar"/>
              </w:rPr>
              <w:t>“双源”</w:t>
            </w:r>
            <w:r>
              <w:rPr>
                <w:rFonts w:hint="default" w:ascii="FreeSerif" w:hAnsi="FreeSerif" w:eastAsia="方正仿宋_GBK" w:cs="FreeSerif"/>
                <w:b w:val="0"/>
                <w:snapToGrid/>
                <w:spacing w:val="0"/>
                <w:kern w:val="2"/>
                <w:sz w:val="18"/>
                <w:szCs w:val="18"/>
                <w:vertAlign w:val="superscript"/>
                <w:lang w:val="en-US" w:eastAsia="zh-CN" w:bidi="ar"/>
              </w:rPr>
              <w:t>3</w:t>
            </w:r>
            <w:r>
              <w:rPr>
                <w:rFonts w:hint="default" w:ascii="FreeSerif" w:hAnsi="FreeSerif" w:eastAsia="方正仿宋_GBK" w:cs="FreeSerif"/>
                <w:b w:val="0"/>
                <w:snapToGrid/>
                <w:spacing w:val="0"/>
                <w:kern w:val="2"/>
                <w:sz w:val="18"/>
                <w:szCs w:val="18"/>
                <w:lang w:val="en-US" w:eastAsia="zh-CN" w:bidi="ar"/>
              </w:rPr>
              <w:t>点位水质</w:t>
            </w:r>
          </w:p>
        </w:tc>
        <w:tc>
          <w:tcPr>
            <w:tcW w:w="1839" w:type="dxa"/>
            <w:tcBorders>
              <w:top w:val="single" w:color="auto" w:sz="4" w:space="0"/>
              <w:left w:val="nil"/>
              <w:bottom w:val="single" w:color="auto" w:sz="4" w:space="0"/>
              <w:right w:val="single" w:color="auto" w:sz="4" w:space="0"/>
            </w:tcBorders>
            <w:noWrap/>
            <w:vAlign w:val="center"/>
          </w:tcPr>
          <w:p>
            <w:pPr>
              <w:pStyle w:val="10"/>
              <w:keepNext w:val="0"/>
              <w:keepLines w:val="0"/>
              <w:widowControl w:val="0"/>
              <w:suppressLineNumbers w:val="0"/>
              <w:overflowPunct w:val="0"/>
              <w:autoSpaceDE w:val="0"/>
              <w:autoSpaceDN/>
              <w:adjustRightInd w:val="0"/>
              <w:snapToGrid w:val="0"/>
              <w:spacing w:before="100" w:beforeAutospacing="1" w:after="100" w:afterAutospacing="1" w:line="0" w:lineRule="atLeast"/>
              <w:ind w:left="0" w:leftChars="0" w:right="0" w:firstLine="0" w:firstLineChars="0"/>
              <w:jc w:val="center"/>
              <w:rPr>
                <w:rFonts w:hint="default" w:ascii="FreeSerif" w:hAnsi="FreeSerif" w:eastAsia="方正仿宋_GBK" w:cs="FreeSerif"/>
                <w:b w:val="0"/>
                <w:spacing w:val="0"/>
                <w:kern w:val="2"/>
                <w:sz w:val="18"/>
                <w:szCs w:val="18"/>
              </w:rPr>
            </w:pPr>
            <w:r>
              <w:rPr>
                <w:rFonts w:hint="default" w:ascii="FreeSerif" w:hAnsi="FreeSerif" w:eastAsia="方正仿宋_GBK" w:cs="FreeSerif"/>
                <w:b w:val="0"/>
                <w:snapToGrid/>
                <w:spacing w:val="0"/>
                <w:kern w:val="2"/>
                <w:sz w:val="18"/>
                <w:szCs w:val="18"/>
                <w:lang w:val="en-US" w:eastAsia="zh-CN" w:bidi="ar"/>
              </w:rPr>
              <w:t>——</w:t>
            </w:r>
          </w:p>
        </w:tc>
        <w:tc>
          <w:tcPr>
            <w:tcW w:w="2309" w:type="dxa"/>
            <w:tcBorders>
              <w:top w:val="single" w:color="auto" w:sz="4" w:space="0"/>
              <w:left w:val="nil"/>
              <w:bottom w:val="single" w:color="auto" w:sz="4" w:space="0"/>
              <w:right w:val="single" w:color="auto" w:sz="4" w:space="0"/>
            </w:tcBorders>
            <w:noWrap/>
            <w:vAlign w:val="center"/>
          </w:tcPr>
          <w:p>
            <w:pPr>
              <w:pStyle w:val="10"/>
              <w:keepNext w:val="0"/>
              <w:keepLines w:val="0"/>
              <w:widowControl w:val="0"/>
              <w:suppressLineNumbers w:val="0"/>
              <w:overflowPunct w:val="0"/>
              <w:autoSpaceDE w:val="0"/>
              <w:autoSpaceDN/>
              <w:adjustRightInd w:val="0"/>
              <w:snapToGrid w:val="0"/>
              <w:spacing w:before="100" w:beforeAutospacing="1" w:after="100" w:afterAutospacing="1" w:line="0" w:lineRule="atLeast"/>
              <w:ind w:left="0" w:leftChars="0" w:right="0" w:firstLine="0" w:firstLineChars="0"/>
              <w:jc w:val="center"/>
              <w:rPr>
                <w:rFonts w:hint="default" w:ascii="FreeSerif" w:hAnsi="FreeSerif" w:eastAsia="方正仿宋_GBK" w:cs="FreeSerif"/>
                <w:b w:val="0"/>
                <w:spacing w:val="0"/>
                <w:kern w:val="2"/>
                <w:sz w:val="18"/>
                <w:szCs w:val="18"/>
              </w:rPr>
            </w:pPr>
            <w:r>
              <w:rPr>
                <w:rFonts w:hint="default" w:ascii="FreeSerif" w:hAnsi="FreeSerif" w:eastAsia="方正仿宋_GBK" w:cs="FreeSerif"/>
                <w:b w:val="0"/>
                <w:snapToGrid/>
                <w:spacing w:val="0"/>
                <w:kern w:val="2"/>
                <w:sz w:val="18"/>
                <w:szCs w:val="18"/>
                <w:lang w:val="en-US" w:eastAsia="zh-CN" w:bidi="ar"/>
              </w:rPr>
              <w:t>总体保持稳定</w:t>
            </w:r>
          </w:p>
        </w:tc>
        <w:tc>
          <w:tcPr>
            <w:tcW w:w="1304" w:type="dxa"/>
            <w:tcBorders>
              <w:top w:val="single" w:color="auto" w:sz="4" w:space="0"/>
              <w:left w:val="nil"/>
              <w:bottom w:val="single" w:color="auto" w:sz="4" w:space="0"/>
              <w:right w:val="single" w:color="auto" w:sz="4" w:space="0"/>
            </w:tcBorders>
            <w:noWrap/>
            <w:vAlign w:val="center"/>
          </w:tcPr>
          <w:p>
            <w:pPr>
              <w:pStyle w:val="10"/>
              <w:keepNext w:val="0"/>
              <w:keepLines w:val="0"/>
              <w:widowControl w:val="0"/>
              <w:suppressLineNumbers w:val="0"/>
              <w:overflowPunct w:val="0"/>
              <w:autoSpaceDE w:val="0"/>
              <w:autoSpaceDN/>
              <w:adjustRightInd w:val="0"/>
              <w:snapToGrid w:val="0"/>
              <w:spacing w:before="100" w:beforeAutospacing="1" w:after="100" w:afterAutospacing="1" w:line="0" w:lineRule="atLeast"/>
              <w:ind w:left="0" w:leftChars="0" w:right="0" w:firstLine="0" w:firstLineChars="0"/>
              <w:jc w:val="center"/>
              <w:rPr>
                <w:rFonts w:hint="default" w:ascii="FreeSerif" w:hAnsi="FreeSerif" w:eastAsia="方正仿宋_GBK" w:cs="FreeSerif"/>
                <w:b w:val="0"/>
                <w:spacing w:val="0"/>
                <w:kern w:val="2"/>
                <w:sz w:val="18"/>
                <w:szCs w:val="18"/>
              </w:rPr>
            </w:pPr>
            <w:r>
              <w:rPr>
                <w:rFonts w:hint="default" w:ascii="FreeSerif" w:hAnsi="FreeSerif" w:eastAsia="方正仿宋_GBK" w:cs="FreeSerif"/>
                <w:b w:val="0"/>
                <w:snapToGrid/>
                <w:spacing w:val="0"/>
                <w:kern w:val="2"/>
                <w:sz w:val="18"/>
                <w:szCs w:val="18"/>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98" w:type="dxa"/>
            <w:vMerge w:val="restart"/>
            <w:tcBorders>
              <w:top w:val="nil"/>
              <w:left w:val="single" w:color="auto" w:sz="4" w:space="0"/>
              <w:bottom w:val="single" w:color="auto" w:sz="4" w:space="0"/>
              <w:right w:val="single" w:color="auto" w:sz="4" w:space="0"/>
            </w:tcBorders>
            <w:noWrap w:val="0"/>
            <w:vAlign w:val="center"/>
          </w:tcPr>
          <w:p>
            <w:pPr>
              <w:pStyle w:val="10"/>
              <w:keepNext w:val="0"/>
              <w:keepLines w:val="0"/>
              <w:widowControl w:val="0"/>
              <w:suppressLineNumbers w:val="0"/>
              <w:overflowPunct w:val="0"/>
              <w:autoSpaceDE w:val="0"/>
              <w:autoSpaceDN/>
              <w:adjustRightInd w:val="0"/>
              <w:snapToGrid w:val="0"/>
              <w:spacing w:before="100" w:beforeAutospacing="1" w:after="100" w:afterAutospacing="1" w:line="0" w:lineRule="atLeast"/>
              <w:ind w:left="0" w:leftChars="0" w:right="0" w:firstLine="0" w:firstLineChars="0"/>
              <w:jc w:val="center"/>
              <w:rPr>
                <w:rFonts w:hint="default" w:ascii="FreeSerif" w:hAnsi="FreeSerif" w:eastAsia="方正仿宋_GBK" w:cs="FreeSerif"/>
                <w:spacing w:val="0"/>
                <w:kern w:val="2"/>
                <w:sz w:val="18"/>
                <w:szCs w:val="18"/>
              </w:rPr>
            </w:pPr>
            <w:r>
              <w:rPr>
                <w:rFonts w:hint="default" w:ascii="FreeSerif" w:hAnsi="FreeSerif" w:eastAsia="方正仿宋_GBK" w:cs="FreeSerif"/>
                <w:snapToGrid/>
                <w:spacing w:val="0"/>
                <w:kern w:val="2"/>
                <w:sz w:val="18"/>
                <w:szCs w:val="18"/>
                <w:lang w:val="en-US" w:eastAsia="zh-CN" w:bidi="ar"/>
              </w:rPr>
              <w:t>农业农村</w:t>
            </w:r>
          </w:p>
          <w:p>
            <w:pPr>
              <w:pStyle w:val="10"/>
              <w:keepNext w:val="0"/>
              <w:keepLines w:val="0"/>
              <w:widowControl w:val="0"/>
              <w:suppressLineNumbers w:val="0"/>
              <w:overflowPunct w:val="0"/>
              <w:autoSpaceDE w:val="0"/>
              <w:autoSpaceDN/>
              <w:adjustRightInd w:val="0"/>
              <w:snapToGrid w:val="0"/>
              <w:spacing w:before="100" w:beforeAutospacing="1" w:after="100" w:afterAutospacing="1" w:line="0" w:lineRule="atLeast"/>
              <w:ind w:left="0" w:leftChars="0" w:right="0" w:firstLine="0" w:firstLineChars="0"/>
              <w:jc w:val="center"/>
              <w:rPr>
                <w:rFonts w:hint="default" w:ascii="FreeSerif" w:hAnsi="FreeSerif" w:eastAsia="方正仿宋_GBK" w:cs="FreeSerif"/>
                <w:spacing w:val="0"/>
                <w:kern w:val="2"/>
                <w:sz w:val="18"/>
                <w:szCs w:val="18"/>
              </w:rPr>
            </w:pPr>
            <w:r>
              <w:rPr>
                <w:rFonts w:hint="default" w:ascii="FreeSerif" w:hAnsi="FreeSerif" w:eastAsia="方正仿宋_GBK" w:cs="FreeSerif"/>
                <w:snapToGrid/>
                <w:spacing w:val="0"/>
                <w:kern w:val="2"/>
                <w:sz w:val="18"/>
                <w:szCs w:val="18"/>
                <w:lang w:val="en-US" w:eastAsia="zh-CN" w:bidi="ar"/>
              </w:rPr>
              <w:t>生态环境</w:t>
            </w:r>
          </w:p>
        </w:tc>
        <w:tc>
          <w:tcPr>
            <w:tcW w:w="2518" w:type="dxa"/>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overflowPunct w:val="0"/>
              <w:autoSpaceDE w:val="0"/>
              <w:autoSpaceDN/>
              <w:adjustRightInd w:val="0"/>
              <w:snapToGrid w:val="0"/>
              <w:spacing w:before="100" w:beforeAutospacing="1" w:after="100" w:afterAutospacing="1" w:line="0" w:lineRule="atLeast"/>
              <w:ind w:left="0" w:leftChars="0" w:right="0" w:firstLine="0" w:firstLineChars="0"/>
              <w:jc w:val="center"/>
              <w:rPr>
                <w:rFonts w:hint="default" w:ascii="FreeSerif" w:hAnsi="FreeSerif" w:eastAsia="方正仿宋_GBK" w:cs="FreeSerif"/>
                <w:b w:val="0"/>
                <w:spacing w:val="0"/>
                <w:kern w:val="2"/>
                <w:sz w:val="18"/>
                <w:szCs w:val="18"/>
              </w:rPr>
            </w:pPr>
            <w:r>
              <w:rPr>
                <w:rFonts w:hint="default" w:ascii="FreeSerif" w:hAnsi="FreeSerif" w:eastAsia="方正仿宋_GBK" w:cs="FreeSerif"/>
                <w:b w:val="0"/>
                <w:snapToGrid/>
                <w:spacing w:val="0"/>
                <w:kern w:val="2"/>
                <w:sz w:val="18"/>
                <w:szCs w:val="18"/>
                <w:lang w:val="en-US" w:eastAsia="zh-CN" w:bidi="ar"/>
              </w:rPr>
              <w:t>农村生活污水治理率</w:t>
            </w:r>
            <w:r>
              <w:rPr>
                <w:rFonts w:hint="default" w:ascii="FreeSerif" w:hAnsi="FreeSerif" w:eastAsia="方正仿宋_GBK" w:cs="FreeSerif"/>
                <w:b w:val="0"/>
                <w:snapToGrid/>
                <w:spacing w:val="0"/>
                <w:kern w:val="2"/>
                <w:sz w:val="18"/>
                <w:szCs w:val="18"/>
                <w:vertAlign w:val="superscript"/>
                <w:lang w:val="en-US" w:eastAsia="zh-CN" w:bidi="ar"/>
              </w:rPr>
              <w:t>4</w:t>
            </w:r>
          </w:p>
        </w:tc>
        <w:tc>
          <w:tcPr>
            <w:tcW w:w="1839" w:type="dxa"/>
            <w:tcBorders>
              <w:top w:val="single" w:color="auto" w:sz="4" w:space="0"/>
              <w:left w:val="nil"/>
              <w:bottom w:val="single" w:color="auto" w:sz="4" w:space="0"/>
              <w:right w:val="single" w:color="auto" w:sz="4" w:space="0"/>
            </w:tcBorders>
            <w:noWrap/>
            <w:vAlign w:val="center"/>
          </w:tcPr>
          <w:p>
            <w:pPr>
              <w:pStyle w:val="10"/>
              <w:keepNext w:val="0"/>
              <w:keepLines w:val="0"/>
              <w:widowControl w:val="0"/>
              <w:suppressLineNumbers w:val="0"/>
              <w:overflowPunct w:val="0"/>
              <w:autoSpaceDE w:val="0"/>
              <w:autoSpaceDN/>
              <w:adjustRightInd w:val="0"/>
              <w:snapToGrid w:val="0"/>
              <w:spacing w:before="100" w:beforeAutospacing="1" w:after="100" w:afterAutospacing="1" w:line="0" w:lineRule="atLeast"/>
              <w:ind w:left="0" w:leftChars="0" w:right="0" w:firstLine="0" w:firstLineChars="0"/>
              <w:jc w:val="center"/>
              <w:rPr>
                <w:rFonts w:hint="default" w:ascii="FreeSerif" w:hAnsi="FreeSerif" w:eastAsia="方正仿宋_GBK" w:cs="FreeSerif"/>
                <w:b w:val="0"/>
                <w:spacing w:val="0"/>
                <w:kern w:val="2"/>
                <w:sz w:val="18"/>
                <w:szCs w:val="18"/>
              </w:rPr>
            </w:pPr>
            <w:r>
              <w:rPr>
                <w:rFonts w:hint="default" w:ascii="FreeSerif" w:hAnsi="FreeSerif" w:eastAsia="方正仿宋_GBK" w:cs="FreeSerif"/>
                <w:b w:val="0"/>
                <w:snapToGrid/>
                <w:spacing w:val="0"/>
                <w:kern w:val="2"/>
                <w:sz w:val="18"/>
                <w:szCs w:val="18"/>
                <w:lang w:val="en-US" w:eastAsia="zh-CN" w:bidi="ar"/>
              </w:rPr>
              <w:t>10.99%</w:t>
            </w:r>
          </w:p>
        </w:tc>
        <w:tc>
          <w:tcPr>
            <w:tcW w:w="2309" w:type="dxa"/>
            <w:tcBorders>
              <w:top w:val="single" w:color="auto" w:sz="4" w:space="0"/>
              <w:left w:val="nil"/>
              <w:bottom w:val="single" w:color="auto" w:sz="4" w:space="0"/>
              <w:right w:val="single" w:color="auto" w:sz="4" w:space="0"/>
            </w:tcBorders>
            <w:noWrap/>
            <w:vAlign w:val="center"/>
          </w:tcPr>
          <w:p>
            <w:pPr>
              <w:pStyle w:val="10"/>
              <w:keepNext w:val="0"/>
              <w:keepLines w:val="0"/>
              <w:widowControl w:val="0"/>
              <w:suppressLineNumbers w:val="0"/>
              <w:overflowPunct w:val="0"/>
              <w:autoSpaceDE w:val="0"/>
              <w:autoSpaceDN/>
              <w:adjustRightInd w:val="0"/>
              <w:snapToGrid w:val="0"/>
              <w:spacing w:before="100" w:beforeAutospacing="1" w:after="100" w:afterAutospacing="1" w:line="0" w:lineRule="atLeast"/>
              <w:ind w:left="0" w:leftChars="0" w:right="0" w:firstLine="0" w:firstLineChars="0"/>
              <w:jc w:val="center"/>
              <w:rPr>
                <w:rFonts w:hint="default" w:ascii="FreeSerif" w:hAnsi="FreeSerif" w:eastAsia="方正仿宋_GBK" w:cs="FreeSerif"/>
                <w:b w:val="0"/>
                <w:spacing w:val="0"/>
                <w:kern w:val="2"/>
                <w:sz w:val="18"/>
                <w:szCs w:val="18"/>
              </w:rPr>
            </w:pPr>
            <w:r>
              <w:rPr>
                <w:rFonts w:hint="default" w:ascii="FreeSerif" w:hAnsi="FreeSerif" w:eastAsia="方正仿宋_GBK" w:cs="FreeSerif"/>
                <w:b w:val="0"/>
                <w:snapToGrid/>
                <w:spacing w:val="0"/>
                <w:kern w:val="2"/>
                <w:sz w:val="18"/>
                <w:szCs w:val="18"/>
                <w:lang w:val="en-US" w:eastAsia="zh-CN" w:bidi="ar"/>
              </w:rPr>
              <w:t>25%</w:t>
            </w:r>
          </w:p>
        </w:tc>
        <w:tc>
          <w:tcPr>
            <w:tcW w:w="1304" w:type="dxa"/>
            <w:tcBorders>
              <w:top w:val="single" w:color="auto" w:sz="4" w:space="0"/>
              <w:left w:val="nil"/>
              <w:bottom w:val="single" w:color="auto" w:sz="4" w:space="0"/>
              <w:right w:val="single" w:color="auto" w:sz="4" w:space="0"/>
            </w:tcBorders>
            <w:noWrap/>
            <w:vAlign w:val="center"/>
          </w:tcPr>
          <w:p>
            <w:pPr>
              <w:pStyle w:val="10"/>
              <w:keepNext w:val="0"/>
              <w:keepLines w:val="0"/>
              <w:widowControl w:val="0"/>
              <w:suppressLineNumbers w:val="0"/>
              <w:overflowPunct w:val="0"/>
              <w:autoSpaceDE w:val="0"/>
              <w:autoSpaceDN/>
              <w:adjustRightInd w:val="0"/>
              <w:snapToGrid w:val="0"/>
              <w:spacing w:before="100" w:beforeAutospacing="1" w:after="100" w:afterAutospacing="1" w:line="0" w:lineRule="atLeast"/>
              <w:ind w:left="0" w:leftChars="0" w:right="0" w:firstLine="0" w:firstLineChars="0"/>
              <w:jc w:val="center"/>
              <w:rPr>
                <w:rFonts w:hint="default" w:ascii="FreeSerif" w:hAnsi="FreeSerif" w:eastAsia="方正仿宋_GBK" w:cs="FreeSerif"/>
                <w:b w:val="0"/>
                <w:spacing w:val="0"/>
                <w:kern w:val="2"/>
                <w:sz w:val="18"/>
                <w:szCs w:val="18"/>
              </w:rPr>
            </w:pPr>
            <w:r>
              <w:rPr>
                <w:rFonts w:hint="default" w:ascii="FreeSerif" w:hAnsi="FreeSerif" w:eastAsia="方正仿宋_GBK" w:cs="FreeSerif"/>
                <w:b w:val="0"/>
                <w:snapToGrid/>
                <w:spacing w:val="0"/>
                <w:kern w:val="2"/>
                <w:sz w:val="18"/>
                <w:szCs w:val="18"/>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98"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FreeSerif" w:hAnsi="FreeSerif" w:cs="FreeSerif"/>
                <w:sz w:val="20"/>
                <w:szCs w:val="20"/>
              </w:rPr>
            </w:pPr>
          </w:p>
        </w:tc>
        <w:tc>
          <w:tcPr>
            <w:tcW w:w="2518" w:type="dxa"/>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overflowPunct w:val="0"/>
              <w:autoSpaceDE w:val="0"/>
              <w:autoSpaceDN/>
              <w:adjustRightInd w:val="0"/>
              <w:snapToGrid w:val="0"/>
              <w:spacing w:before="100" w:beforeAutospacing="1" w:after="100" w:afterAutospacing="1" w:line="0" w:lineRule="atLeast"/>
              <w:ind w:left="0" w:leftChars="0" w:right="0" w:firstLine="0" w:firstLineChars="0"/>
              <w:jc w:val="center"/>
              <w:rPr>
                <w:rFonts w:hint="default" w:ascii="FreeSerif" w:hAnsi="FreeSerif" w:eastAsia="方正仿宋_GBK" w:cs="FreeSerif"/>
                <w:b w:val="0"/>
                <w:spacing w:val="0"/>
                <w:kern w:val="2"/>
                <w:sz w:val="18"/>
                <w:szCs w:val="18"/>
              </w:rPr>
            </w:pPr>
            <w:r>
              <w:rPr>
                <w:rFonts w:hint="default" w:ascii="FreeSerif" w:hAnsi="FreeSerif" w:eastAsia="方正仿宋_GBK" w:cs="FreeSerif"/>
                <w:b w:val="0"/>
                <w:snapToGrid/>
                <w:spacing w:val="0"/>
                <w:kern w:val="2"/>
                <w:sz w:val="18"/>
                <w:szCs w:val="18"/>
                <w:lang w:val="en-US" w:eastAsia="zh-CN" w:bidi="ar"/>
              </w:rPr>
              <w:t>农村黑臭水体整治率</w:t>
            </w:r>
          </w:p>
        </w:tc>
        <w:tc>
          <w:tcPr>
            <w:tcW w:w="1839" w:type="dxa"/>
            <w:tcBorders>
              <w:top w:val="single" w:color="auto" w:sz="4" w:space="0"/>
              <w:left w:val="nil"/>
              <w:bottom w:val="single" w:color="auto" w:sz="4" w:space="0"/>
              <w:right w:val="single" w:color="auto" w:sz="4" w:space="0"/>
            </w:tcBorders>
            <w:noWrap/>
            <w:vAlign w:val="center"/>
          </w:tcPr>
          <w:p>
            <w:pPr>
              <w:pStyle w:val="10"/>
              <w:keepNext w:val="0"/>
              <w:keepLines w:val="0"/>
              <w:widowControl w:val="0"/>
              <w:suppressLineNumbers w:val="0"/>
              <w:overflowPunct w:val="0"/>
              <w:autoSpaceDE w:val="0"/>
              <w:autoSpaceDN/>
              <w:adjustRightInd w:val="0"/>
              <w:snapToGrid w:val="0"/>
              <w:spacing w:before="100" w:beforeAutospacing="1" w:after="100" w:afterAutospacing="1" w:line="0" w:lineRule="atLeast"/>
              <w:ind w:left="0" w:leftChars="0" w:right="0" w:firstLine="0" w:firstLineChars="0"/>
              <w:jc w:val="center"/>
              <w:rPr>
                <w:rFonts w:hint="default" w:ascii="FreeSerif" w:hAnsi="FreeSerif" w:eastAsia="方正仿宋_GBK" w:cs="FreeSerif"/>
                <w:b w:val="0"/>
                <w:spacing w:val="0"/>
                <w:kern w:val="2"/>
                <w:sz w:val="18"/>
                <w:szCs w:val="18"/>
              </w:rPr>
            </w:pPr>
            <w:r>
              <w:rPr>
                <w:rFonts w:hint="default" w:ascii="FreeSerif" w:hAnsi="FreeSerif" w:eastAsia="方正仿宋_GBK" w:cs="FreeSerif"/>
                <w:b w:val="0"/>
                <w:snapToGrid/>
                <w:spacing w:val="0"/>
                <w:kern w:val="2"/>
                <w:sz w:val="18"/>
                <w:szCs w:val="18"/>
                <w:lang w:val="en-US" w:eastAsia="zh-CN" w:bidi="ar"/>
              </w:rPr>
              <w:t>——</w:t>
            </w:r>
          </w:p>
        </w:tc>
        <w:tc>
          <w:tcPr>
            <w:tcW w:w="2309" w:type="dxa"/>
            <w:tcBorders>
              <w:top w:val="single" w:color="auto" w:sz="4" w:space="0"/>
              <w:left w:val="nil"/>
              <w:bottom w:val="single" w:color="auto" w:sz="4" w:space="0"/>
              <w:right w:val="single" w:color="auto" w:sz="4" w:space="0"/>
            </w:tcBorders>
            <w:noWrap/>
            <w:vAlign w:val="center"/>
          </w:tcPr>
          <w:p>
            <w:pPr>
              <w:pStyle w:val="10"/>
              <w:keepNext w:val="0"/>
              <w:keepLines w:val="0"/>
              <w:widowControl w:val="0"/>
              <w:suppressLineNumbers w:val="0"/>
              <w:overflowPunct w:val="0"/>
              <w:autoSpaceDE w:val="0"/>
              <w:autoSpaceDN/>
              <w:adjustRightInd w:val="0"/>
              <w:snapToGrid w:val="0"/>
              <w:spacing w:before="100" w:beforeAutospacing="1" w:after="100" w:afterAutospacing="1" w:line="0" w:lineRule="atLeast"/>
              <w:ind w:left="0" w:leftChars="0" w:right="0" w:firstLine="0" w:firstLineChars="0"/>
              <w:jc w:val="center"/>
              <w:rPr>
                <w:rFonts w:hint="default" w:ascii="FreeSerif" w:hAnsi="FreeSerif" w:eastAsia="方正仿宋_GBK" w:cs="FreeSerif"/>
                <w:b w:val="0"/>
                <w:spacing w:val="0"/>
                <w:kern w:val="2"/>
                <w:sz w:val="18"/>
                <w:szCs w:val="18"/>
              </w:rPr>
            </w:pPr>
            <w:r>
              <w:rPr>
                <w:rFonts w:hint="default" w:ascii="FreeSerif" w:hAnsi="FreeSerif" w:eastAsia="方正仿宋_GBK" w:cs="FreeSerif"/>
                <w:b w:val="0"/>
                <w:snapToGrid/>
                <w:spacing w:val="0"/>
                <w:kern w:val="2"/>
                <w:sz w:val="18"/>
                <w:szCs w:val="18"/>
                <w:lang w:val="en-US" w:eastAsia="zh-CN" w:bidi="ar"/>
              </w:rPr>
              <w:t>80%（基本消除较大面积农村黑臭水体）</w:t>
            </w:r>
          </w:p>
        </w:tc>
        <w:tc>
          <w:tcPr>
            <w:tcW w:w="1304" w:type="dxa"/>
            <w:tcBorders>
              <w:top w:val="single" w:color="auto" w:sz="4" w:space="0"/>
              <w:left w:val="nil"/>
              <w:bottom w:val="single" w:color="auto" w:sz="4" w:space="0"/>
              <w:right w:val="single" w:color="auto" w:sz="4" w:space="0"/>
            </w:tcBorders>
            <w:noWrap/>
            <w:vAlign w:val="center"/>
          </w:tcPr>
          <w:p>
            <w:pPr>
              <w:pStyle w:val="10"/>
              <w:keepNext w:val="0"/>
              <w:keepLines w:val="0"/>
              <w:widowControl w:val="0"/>
              <w:suppressLineNumbers w:val="0"/>
              <w:overflowPunct w:val="0"/>
              <w:autoSpaceDE w:val="0"/>
              <w:autoSpaceDN/>
              <w:adjustRightInd w:val="0"/>
              <w:snapToGrid w:val="0"/>
              <w:spacing w:before="100" w:beforeAutospacing="1" w:after="100" w:afterAutospacing="1" w:line="0" w:lineRule="atLeast"/>
              <w:ind w:left="0" w:leftChars="0" w:right="0" w:firstLine="0" w:firstLineChars="0"/>
              <w:jc w:val="center"/>
              <w:rPr>
                <w:rFonts w:hint="default" w:ascii="FreeSerif" w:hAnsi="FreeSerif" w:eastAsia="方正仿宋_GBK" w:cs="FreeSerif"/>
                <w:b w:val="0"/>
                <w:spacing w:val="0"/>
                <w:kern w:val="2"/>
                <w:sz w:val="18"/>
                <w:szCs w:val="18"/>
              </w:rPr>
            </w:pPr>
            <w:r>
              <w:rPr>
                <w:rFonts w:hint="default" w:ascii="FreeSerif" w:hAnsi="FreeSerif" w:eastAsia="方正仿宋_GBK" w:cs="FreeSerif"/>
                <w:b w:val="0"/>
                <w:snapToGrid/>
                <w:spacing w:val="0"/>
                <w:kern w:val="2"/>
                <w:sz w:val="18"/>
                <w:szCs w:val="18"/>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98"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FreeSerif" w:hAnsi="FreeSerif" w:cs="FreeSerif"/>
                <w:sz w:val="20"/>
                <w:szCs w:val="20"/>
              </w:rPr>
            </w:pPr>
          </w:p>
        </w:tc>
        <w:tc>
          <w:tcPr>
            <w:tcW w:w="2518" w:type="dxa"/>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overflowPunct w:val="0"/>
              <w:autoSpaceDE w:val="0"/>
              <w:autoSpaceDN/>
              <w:adjustRightInd w:val="0"/>
              <w:snapToGrid w:val="0"/>
              <w:spacing w:before="100" w:beforeAutospacing="1" w:after="100" w:afterAutospacing="1" w:line="0" w:lineRule="atLeast"/>
              <w:ind w:left="0" w:leftChars="0" w:right="0" w:firstLine="0" w:firstLineChars="0"/>
              <w:jc w:val="center"/>
              <w:rPr>
                <w:rFonts w:hint="default" w:ascii="FreeSerif" w:hAnsi="FreeSerif" w:eastAsia="方正仿宋_GBK" w:cs="FreeSerif"/>
                <w:b w:val="0"/>
                <w:spacing w:val="0"/>
                <w:kern w:val="2"/>
                <w:sz w:val="18"/>
                <w:szCs w:val="18"/>
              </w:rPr>
            </w:pPr>
            <w:r>
              <w:rPr>
                <w:rFonts w:hint="default" w:ascii="FreeSerif" w:hAnsi="FreeSerif" w:eastAsia="方正仿宋_GBK" w:cs="FreeSerif"/>
                <w:b w:val="0"/>
                <w:snapToGrid/>
                <w:spacing w:val="0"/>
                <w:kern w:val="2"/>
                <w:sz w:val="18"/>
                <w:szCs w:val="18"/>
                <w:lang w:val="en-US" w:eastAsia="zh-CN" w:bidi="ar"/>
              </w:rPr>
              <w:t>农村环境整治村庄数量</w:t>
            </w:r>
          </w:p>
        </w:tc>
        <w:tc>
          <w:tcPr>
            <w:tcW w:w="1839" w:type="dxa"/>
            <w:tcBorders>
              <w:top w:val="single" w:color="auto" w:sz="4" w:space="0"/>
              <w:left w:val="nil"/>
              <w:bottom w:val="single" w:color="auto" w:sz="4" w:space="0"/>
              <w:right w:val="single" w:color="auto" w:sz="4" w:space="0"/>
            </w:tcBorders>
            <w:noWrap/>
            <w:vAlign w:val="center"/>
          </w:tcPr>
          <w:p>
            <w:pPr>
              <w:pStyle w:val="10"/>
              <w:keepNext w:val="0"/>
              <w:keepLines w:val="0"/>
              <w:widowControl w:val="0"/>
              <w:suppressLineNumbers w:val="0"/>
              <w:overflowPunct w:val="0"/>
              <w:autoSpaceDE w:val="0"/>
              <w:autoSpaceDN/>
              <w:adjustRightInd w:val="0"/>
              <w:snapToGrid w:val="0"/>
              <w:spacing w:before="100" w:beforeAutospacing="1" w:after="100" w:afterAutospacing="1" w:line="0" w:lineRule="atLeast"/>
              <w:ind w:left="0" w:leftChars="0" w:right="0" w:firstLine="0" w:firstLineChars="0"/>
              <w:jc w:val="center"/>
              <w:rPr>
                <w:rFonts w:hint="default" w:ascii="FreeSerif" w:hAnsi="FreeSerif" w:eastAsia="方正仿宋_GBK" w:cs="FreeSerif"/>
                <w:b w:val="0"/>
                <w:spacing w:val="0"/>
                <w:kern w:val="2"/>
                <w:sz w:val="18"/>
                <w:szCs w:val="18"/>
              </w:rPr>
            </w:pPr>
            <w:r>
              <w:rPr>
                <w:rFonts w:hint="default" w:ascii="FreeSerif" w:hAnsi="FreeSerif" w:eastAsia="方正仿宋_GBK" w:cs="FreeSerif"/>
                <w:b w:val="0"/>
                <w:snapToGrid/>
                <w:spacing w:val="0"/>
                <w:kern w:val="2"/>
                <w:sz w:val="18"/>
                <w:szCs w:val="18"/>
                <w:lang w:val="en-US" w:eastAsia="zh-CN" w:bidi="ar"/>
              </w:rPr>
              <w:t>——</w:t>
            </w:r>
          </w:p>
        </w:tc>
        <w:tc>
          <w:tcPr>
            <w:tcW w:w="2309" w:type="dxa"/>
            <w:tcBorders>
              <w:top w:val="single" w:color="auto" w:sz="4" w:space="0"/>
              <w:left w:val="nil"/>
              <w:bottom w:val="single" w:color="auto" w:sz="4" w:space="0"/>
              <w:right w:val="single" w:color="auto" w:sz="4" w:space="0"/>
            </w:tcBorders>
            <w:noWrap/>
            <w:vAlign w:val="center"/>
          </w:tcPr>
          <w:p>
            <w:pPr>
              <w:pStyle w:val="10"/>
              <w:keepNext w:val="0"/>
              <w:keepLines w:val="0"/>
              <w:widowControl w:val="0"/>
              <w:suppressLineNumbers w:val="0"/>
              <w:overflowPunct w:val="0"/>
              <w:autoSpaceDE w:val="0"/>
              <w:autoSpaceDN/>
              <w:adjustRightInd w:val="0"/>
              <w:snapToGrid w:val="0"/>
              <w:spacing w:before="100" w:beforeAutospacing="1" w:after="100" w:afterAutospacing="1" w:line="0" w:lineRule="atLeast"/>
              <w:ind w:left="0" w:leftChars="0" w:right="0" w:firstLine="0" w:firstLineChars="0"/>
              <w:jc w:val="center"/>
              <w:rPr>
                <w:rFonts w:hint="default" w:ascii="FreeSerif" w:hAnsi="FreeSerif" w:eastAsia="方正仿宋_GBK" w:cs="FreeSerif"/>
                <w:b w:val="0"/>
                <w:spacing w:val="0"/>
                <w:kern w:val="2"/>
                <w:sz w:val="18"/>
                <w:szCs w:val="18"/>
              </w:rPr>
            </w:pPr>
            <w:r>
              <w:rPr>
                <w:rFonts w:hint="default" w:ascii="FreeSerif" w:hAnsi="FreeSerif" w:eastAsia="方正仿宋_GBK" w:cs="FreeSerif"/>
                <w:b w:val="0"/>
                <w:snapToGrid/>
                <w:spacing w:val="0"/>
                <w:kern w:val="2"/>
                <w:sz w:val="18"/>
                <w:szCs w:val="18"/>
                <w:lang w:val="en-US" w:eastAsia="zh-CN" w:bidi="ar"/>
              </w:rPr>
              <w:t>151</w:t>
            </w:r>
          </w:p>
        </w:tc>
        <w:tc>
          <w:tcPr>
            <w:tcW w:w="1304" w:type="dxa"/>
            <w:tcBorders>
              <w:top w:val="single" w:color="auto" w:sz="4" w:space="0"/>
              <w:left w:val="nil"/>
              <w:bottom w:val="single" w:color="auto" w:sz="4" w:space="0"/>
              <w:right w:val="single" w:color="auto" w:sz="4" w:space="0"/>
            </w:tcBorders>
            <w:noWrap/>
            <w:vAlign w:val="center"/>
          </w:tcPr>
          <w:p>
            <w:pPr>
              <w:pStyle w:val="10"/>
              <w:keepNext w:val="0"/>
              <w:keepLines w:val="0"/>
              <w:widowControl w:val="0"/>
              <w:suppressLineNumbers w:val="0"/>
              <w:overflowPunct w:val="0"/>
              <w:autoSpaceDE w:val="0"/>
              <w:autoSpaceDN/>
              <w:adjustRightInd w:val="0"/>
              <w:snapToGrid w:val="0"/>
              <w:spacing w:before="100" w:beforeAutospacing="1" w:after="100" w:afterAutospacing="1" w:line="0" w:lineRule="atLeast"/>
              <w:ind w:left="0" w:leftChars="0" w:right="0" w:firstLine="0" w:firstLineChars="0"/>
              <w:jc w:val="center"/>
              <w:rPr>
                <w:rFonts w:hint="default" w:ascii="FreeSerif" w:hAnsi="FreeSerif" w:eastAsia="方正仿宋_GBK" w:cs="FreeSerif"/>
                <w:b w:val="0"/>
                <w:spacing w:val="0"/>
                <w:kern w:val="2"/>
                <w:sz w:val="18"/>
                <w:szCs w:val="18"/>
              </w:rPr>
            </w:pPr>
            <w:r>
              <w:rPr>
                <w:rFonts w:hint="default" w:ascii="FreeSerif" w:hAnsi="FreeSerif" w:eastAsia="方正仿宋_GBK" w:cs="FreeSerif"/>
                <w:b w:val="0"/>
                <w:snapToGrid/>
                <w:spacing w:val="0"/>
                <w:kern w:val="2"/>
                <w:sz w:val="18"/>
                <w:szCs w:val="18"/>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98"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FreeSerif" w:hAnsi="FreeSerif" w:cs="FreeSerif"/>
                <w:sz w:val="20"/>
                <w:szCs w:val="20"/>
              </w:rPr>
            </w:pPr>
          </w:p>
        </w:tc>
        <w:tc>
          <w:tcPr>
            <w:tcW w:w="2518" w:type="dxa"/>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overflowPunct w:val="0"/>
              <w:autoSpaceDE w:val="0"/>
              <w:autoSpaceDN/>
              <w:adjustRightInd w:val="0"/>
              <w:snapToGrid w:val="0"/>
              <w:spacing w:before="100" w:beforeAutospacing="1" w:after="100" w:afterAutospacing="1" w:line="0" w:lineRule="atLeast"/>
              <w:ind w:left="0" w:leftChars="0" w:right="0" w:firstLine="0" w:firstLineChars="0"/>
              <w:jc w:val="center"/>
              <w:rPr>
                <w:rFonts w:hint="default" w:ascii="FreeSerif" w:hAnsi="FreeSerif" w:eastAsia="方正仿宋_GBK" w:cs="FreeSerif"/>
                <w:b w:val="0"/>
                <w:spacing w:val="0"/>
                <w:kern w:val="2"/>
                <w:sz w:val="18"/>
                <w:szCs w:val="18"/>
              </w:rPr>
            </w:pPr>
            <w:r>
              <w:rPr>
                <w:rFonts w:hint="default" w:ascii="FreeSerif" w:hAnsi="FreeSerif" w:eastAsia="方正仿宋_GBK" w:cs="FreeSerif"/>
                <w:b w:val="0"/>
                <w:snapToGrid/>
                <w:spacing w:val="0"/>
                <w:kern w:val="2"/>
                <w:sz w:val="18"/>
                <w:szCs w:val="18"/>
                <w:lang w:val="en-US" w:eastAsia="zh-CN" w:bidi="ar"/>
              </w:rPr>
              <w:t>主要农作物化肥利用率</w:t>
            </w:r>
          </w:p>
        </w:tc>
        <w:tc>
          <w:tcPr>
            <w:tcW w:w="1839" w:type="dxa"/>
            <w:tcBorders>
              <w:top w:val="single" w:color="auto" w:sz="4" w:space="0"/>
              <w:left w:val="nil"/>
              <w:bottom w:val="single" w:color="auto" w:sz="4" w:space="0"/>
              <w:right w:val="single" w:color="auto" w:sz="4" w:space="0"/>
            </w:tcBorders>
            <w:noWrap/>
            <w:vAlign w:val="center"/>
          </w:tcPr>
          <w:p>
            <w:pPr>
              <w:pStyle w:val="10"/>
              <w:keepNext w:val="0"/>
              <w:keepLines w:val="0"/>
              <w:widowControl w:val="0"/>
              <w:suppressLineNumbers w:val="0"/>
              <w:overflowPunct w:val="0"/>
              <w:autoSpaceDE w:val="0"/>
              <w:autoSpaceDN/>
              <w:adjustRightInd w:val="0"/>
              <w:snapToGrid w:val="0"/>
              <w:spacing w:before="100" w:beforeAutospacing="1" w:after="100" w:afterAutospacing="1" w:line="0" w:lineRule="atLeast"/>
              <w:ind w:left="0" w:leftChars="0" w:right="0" w:firstLine="0" w:firstLineChars="0"/>
              <w:jc w:val="center"/>
              <w:rPr>
                <w:rFonts w:hint="default" w:ascii="FreeSerif" w:hAnsi="FreeSerif" w:eastAsia="方正仿宋_GBK" w:cs="FreeSerif"/>
                <w:b w:val="0"/>
                <w:spacing w:val="0"/>
                <w:kern w:val="2"/>
                <w:sz w:val="18"/>
                <w:szCs w:val="18"/>
              </w:rPr>
            </w:pPr>
            <w:r>
              <w:rPr>
                <w:rFonts w:hint="default" w:ascii="FreeSerif" w:hAnsi="FreeSerif" w:eastAsia="方正仿宋_GBK" w:cs="FreeSerif"/>
                <w:b w:val="0"/>
                <w:snapToGrid/>
                <w:spacing w:val="0"/>
                <w:kern w:val="2"/>
                <w:sz w:val="18"/>
                <w:szCs w:val="18"/>
                <w:lang w:val="en-US" w:eastAsia="zh-CN" w:bidi="ar"/>
              </w:rPr>
              <w:t>——</w:t>
            </w:r>
          </w:p>
        </w:tc>
        <w:tc>
          <w:tcPr>
            <w:tcW w:w="2309" w:type="dxa"/>
            <w:tcBorders>
              <w:top w:val="single" w:color="auto" w:sz="4" w:space="0"/>
              <w:left w:val="nil"/>
              <w:bottom w:val="single" w:color="auto" w:sz="4" w:space="0"/>
              <w:right w:val="single" w:color="auto" w:sz="4" w:space="0"/>
            </w:tcBorders>
            <w:noWrap/>
            <w:vAlign w:val="center"/>
          </w:tcPr>
          <w:p>
            <w:pPr>
              <w:pStyle w:val="10"/>
              <w:keepNext w:val="0"/>
              <w:keepLines w:val="0"/>
              <w:widowControl w:val="0"/>
              <w:suppressLineNumbers w:val="0"/>
              <w:overflowPunct w:val="0"/>
              <w:autoSpaceDE w:val="0"/>
              <w:autoSpaceDN/>
              <w:adjustRightInd w:val="0"/>
              <w:snapToGrid w:val="0"/>
              <w:spacing w:before="100" w:beforeAutospacing="1" w:after="100" w:afterAutospacing="1" w:line="0" w:lineRule="atLeast"/>
              <w:ind w:left="0" w:leftChars="0" w:right="0" w:firstLine="0" w:firstLineChars="0"/>
              <w:jc w:val="center"/>
              <w:rPr>
                <w:rFonts w:hint="default" w:ascii="FreeSerif" w:hAnsi="FreeSerif" w:eastAsia="方正仿宋_GBK" w:cs="FreeSerif"/>
                <w:b w:val="0"/>
                <w:spacing w:val="0"/>
                <w:kern w:val="2"/>
                <w:sz w:val="18"/>
                <w:szCs w:val="18"/>
              </w:rPr>
            </w:pPr>
            <w:r>
              <w:rPr>
                <w:rFonts w:hint="default" w:ascii="FreeSerif" w:hAnsi="FreeSerif" w:eastAsia="方正仿宋_GBK" w:cs="FreeSerif"/>
                <w:b w:val="0"/>
                <w:snapToGrid/>
                <w:spacing w:val="0"/>
                <w:kern w:val="2"/>
                <w:sz w:val="18"/>
                <w:szCs w:val="18"/>
                <w:lang w:val="en-US" w:eastAsia="zh-CN" w:bidi="ar"/>
              </w:rPr>
              <w:t>43%</w:t>
            </w:r>
          </w:p>
        </w:tc>
        <w:tc>
          <w:tcPr>
            <w:tcW w:w="1304" w:type="dxa"/>
            <w:tcBorders>
              <w:top w:val="single" w:color="auto" w:sz="4" w:space="0"/>
              <w:left w:val="nil"/>
              <w:bottom w:val="single" w:color="auto" w:sz="4" w:space="0"/>
              <w:right w:val="single" w:color="auto" w:sz="4" w:space="0"/>
            </w:tcBorders>
            <w:noWrap/>
            <w:vAlign w:val="center"/>
          </w:tcPr>
          <w:p>
            <w:pPr>
              <w:pStyle w:val="10"/>
              <w:keepNext w:val="0"/>
              <w:keepLines w:val="0"/>
              <w:widowControl w:val="0"/>
              <w:suppressLineNumbers w:val="0"/>
              <w:overflowPunct w:val="0"/>
              <w:autoSpaceDE w:val="0"/>
              <w:autoSpaceDN/>
              <w:adjustRightInd w:val="0"/>
              <w:snapToGrid w:val="0"/>
              <w:spacing w:before="100" w:beforeAutospacing="1" w:after="100" w:afterAutospacing="1" w:line="0" w:lineRule="atLeast"/>
              <w:ind w:left="0" w:leftChars="0" w:right="0" w:firstLine="0" w:firstLineChars="0"/>
              <w:jc w:val="center"/>
              <w:rPr>
                <w:rFonts w:hint="default" w:ascii="FreeSerif" w:hAnsi="FreeSerif" w:eastAsia="方正仿宋_GBK" w:cs="FreeSerif"/>
                <w:b w:val="0"/>
                <w:spacing w:val="0"/>
                <w:kern w:val="2"/>
                <w:sz w:val="18"/>
                <w:szCs w:val="18"/>
              </w:rPr>
            </w:pPr>
            <w:r>
              <w:rPr>
                <w:rFonts w:hint="default" w:ascii="FreeSerif" w:hAnsi="FreeSerif" w:eastAsia="方正仿宋_GBK" w:cs="FreeSerif"/>
                <w:b w:val="0"/>
                <w:snapToGrid/>
                <w:spacing w:val="0"/>
                <w:kern w:val="2"/>
                <w:sz w:val="18"/>
                <w:szCs w:val="18"/>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98"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FreeSerif" w:hAnsi="FreeSerif" w:cs="FreeSerif"/>
                <w:sz w:val="20"/>
                <w:szCs w:val="20"/>
              </w:rPr>
            </w:pPr>
          </w:p>
        </w:tc>
        <w:tc>
          <w:tcPr>
            <w:tcW w:w="2518" w:type="dxa"/>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overflowPunct w:val="0"/>
              <w:autoSpaceDE w:val="0"/>
              <w:autoSpaceDN/>
              <w:adjustRightInd w:val="0"/>
              <w:snapToGrid w:val="0"/>
              <w:spacing w:before="100" w:beforeAutospacing="1" w:after="100" w:afterAutospacing="1" w:line="0" w:lineRule="atLeast"/>
              <w:ind w:left="0" w:leftChars="0" w:right="0" w:firstLine="0" w:firstLineChars="0"/>
              <w:jc w:val="center"/>
              <w:rPr>
                <w:rFonts w:hint="default" w:ascii="FreeSerif" w:hAnsi="FreeSerif" w:eastAsia="方正仿宋_GBK" w:cs="FreeSerif"/>
                <w:b w:val="0"/>
                <w:spacing w:val="0"/>
                <w:kern w:val="2"/>
                <w:sz w:val="18"/>
                <w:szCs w:val="18"/>
              </w:rPr>
            </w:pPr>
            <w:r>
              <w:rPr>
                <w:rFonts w:hint="default" w:ascii="FreeSerif" w:hAnsi="FreeSerif" w:eastAsia="方正仿宋_GBK" w:cs="FreeSerif"/>
                <w:b w:val="0"/>
                <w:snapToGrid/>
                <w:spacing w:val="0"/>
                <w:kern w:val="2"/>
                <w:sz w:val="18"/>
                <w:szCs w:val="18"/>
                <w:lang w:val="en-US" w:eastAsia="zh-CN" w:bidi="ar"/>
              </w:rPr>
              <w:t>主要农作物农药利用率</w:t>
            </w:r>
          </w:p>
        </w:tc>
        <w:tc>
          <w:tcPr>
            <w:tcW w:w="1839" w:type="dxa"/>
            <w:tcBorders>
              <w:top w:val="single" w:color="auto" w:sz="4" w:space="0"/>
              <w:left w:val="nil"/>
              <w:bottom w:val="single" w:color="auto" w:sz="4" w:space="0"/>
              <w:right w:val="single" w:color="auto" w:sz="4" w:space="0"/>
            </w:tcBorders>
            <w:noWrap/>
            <w:vAlign w:val="center"/>
          </w:tcPr>
          <w:p>
            <w:pPr>
              <w:pStyle w:val="10"/>
              <w:keepNext w:val="0"/>
              <w:keepLines w:val="0"/>
              <w:widowControl w:val="0"/>
              <w:suppressLineNumbers w:val="0"/>
              <w:overflowPunct w:val="0"/>
              <w:autoSpaceDE w:val="0"/>
              <w:autoSpaceDN/>
              <w:adjustRightInd w:val="0"/>
              <w:snapToGrid w:val="0"/>
              <w:spacing w:before="100" w:beforeAutospacing="1" w:after="100" w:afterAutospacing="1" w:line="0" w:lineRule="atLeast"/>
              <w:ind w:left="0" w:leftChars="0" w:right="0" w:firstLine="0" w:firstLineChars="0"/>
              <w:jc w:val="center"/>
              <w:rPr>
                <w:rFonts w:hint="default" w:ascii="FreeSerif" w:hAnsi="FreeSerif" w:eastAsia="方正仿宋_GBK" w:cs="FreeSerif"/>
                <w:b w:val="0"/>
                <w:spacing w:val="0"/>
                <w:kern w:val="2"/>
                <w:sz w:val="18"/>
                <w:szCs w:val="18"/>
              </w:rPr>
            </w:pPr>
            <w:r>
              <w:rPr>
                <w:rFonts w:hint="default" w:ascii="FreeSerif" w:hAnsi="FreeSerif" w:eastAsia="方正仿宋_GBK" w:cs="FreeSerif"/>
                <w:b w:val="0"/>
                <w:snapToGrid/>
                <w:spacing w:val="0"/>
                <w:kern w:val="2"/>
                <w:sz w:val="18"/>
                <w:szCs w:val="18"/>
                <w:lang w:val="en-US" w:eastAsia="zh-CN" w:bidi="ar"/>
              </w:rPr>
              <w:t>——</w:t>
            </w:r>
          </w:p>
        </w:tc>
        <w:tc>
          <w:tcPr>
            <w:tcW w:w="2309" w:type="dxa"/>
            <w:tcBorders>
              <w:top w:val="single" w:color="auto" w:sz="4" w:space="0"/>
              <w:left w:val="nil"/>
              <w:bottom w:val="single" w:color="auto" w:sz="4" w:space="0"/>
              <w:right w:val="single" w:color="auto" w:sz="4" w:space="0"/>
            </w:tcBorders>
            <w:noWrap/>
            <w:vAlign w:val="center"/>
          </w:tcPr>
          <w:p>
            <w:pPr>
              <w:pStyle w:val="10"/>
              <w:keepNext w:val="0"/>
              <w:keepLines w:val="0"/>
              <w:widowControl w:val="0"/>
              <w:suppressLineNumbers w:val="0"/>
              <w:overflowPunct w:val="0"/>
              <w:autoSpaceDE w:val="0"/>
              <w:autoSpaceDN/>
              <w:adjustRightInd w:val="0"/>
              <w:snapToGrid w:val="0"/>
              <w:spacing w:before="100" w:beforeAutospacing="1" w:after="100" w:afterAutospacing="1" w:line="0" w:lineRule="atLeast"/>
              <w:ind w:left="0" w:leftChars="0" w:right="0" w:firstLine="0" w:firstLineChars="0"/>
              <w:jc w:val="center"/>
              <w:rPr>
                <w:rFonts w:hint="default" w:ascii="FreeSerif" w:hAnsi="FreeSerif" w:eastAsia="方正仿宋_GBK" w:cs="FreeSerif"/>
                <w:b w:val="0"/>
                <w:spacing w:val="0"/>
                <w:kern w:val="2"/>
                <w:sz w:val="18"/>
                <w:szCs w:val="18"/>
              </w:rPr>
            </w:pPr>
            <w:r>
              <w:rPr>
                <w:rFonts w:hint="default" w:ascii="FreeSerif" w:hAnsi="FreeSerif" w:eastAsia="方正仿宋_GBK" w:cs="FreeSerif"/>
                <w:b w:val="0"/>
                <w:snapToGrid/>
                <w:spacing w:val="0"/>
                <w:kern w:val="2"/>
                <w:sz w:val="18"/>
                <w:szCs w:val="18"/>
                <w:lang w:val="en-US" w:eastAsia="zh-CN" w:bidi="ar"/>
              </w:rPr>
              <w:t>43%</w:t>
            </w:r>
          </w:p>
        </w:tc>
        <w:tc>
          <w:tcPr>
            <w:tcW w:w="1304" w:type="dxa"/>
            <w:tcBorders>
              <w:top w:val="single" w:color="auto" w:sz="4" w:space="0"/>
              <w:left w:val="nil"/>
              <w:bottom w:val="single" w:color="auto" w:sz="4" w:space="0"/>
              <w:right w:val="single" w:color="auto" w:sz="4" w:space="0"/>
            </w:tcBorders>
            <w:noWrap/>
            <w:vAlign w:val="center"/>
          </w:tcPr>
          <w:p>
            <w:pPr>
              <w:pStyle w:val="10"/>
              <w:keepNext w:val="0"/>
              <w:keepLines w:val="0"/>
              <w:widowControl w:val="0"/>
              <w:suppressLineNumbers w:val="0"/>
              <w:overflowPunct w:val="0"/>
              <w:autoSpaceDE w:val="0"/>
              <w:autoSpaceDN/>
              <w:adjustRightInd w:val="0"/>
              <w:snapToGrid w:val="0"/>
              <w:spacing w:before="100" w:beforeAutospacing="1" w:after="100" w:afterAutospacing="1" w:line="0" w:lineRule="atLeast"/>
              <w:ind w:left="0" w:leftChars="0" w:right="0" w:firstLine="0" w:firstLineChars="0"/>
              <w:jc w:val="center"/>
              <w:rPr>
                <w:rFonts w:hint="default" w:ascii="FreeSerif" w:hAnsi="FreeSerif" w:eastAsia="方正仿宋_GBK" w:cs="FreeSerif"/>
                <w:b w:val="0"/>
                <w:spacing w:val="0"/>
                <w:kern w:val="2"/>
                <w:sz w:val="18"/>
                <w:szCs w:val="18"/>
              </w:rPr>
            </w:pPr>
            <w:r>
              <w:rPr>
                <w:rFonts w:hint="default" w:ascii="FreeSerif" w:hAnsi="FreeSerif" w:eastAsia="方正仿宋_GBK" w:cs="FreeSerif"/>
                <w:b w:val="0"/>
                <w:snapToGrid/>
                <w:spacing w:val="0"/>
                <w:kern w:val="2"/>
                <w:sz w:val="18"/>
                <w:szCs w:val="18"/>
                <w:lang w:val="en-US" w:eastAsia="zh-CN" w:bidi="ar"/>
              </w:rPr>
              <w:t>预期性</w:t>
            </w:r>
          </w:p>
        </w:tc>
      </w:tr>
    </w:tbl>
    <w:p>
      <w:pPr>
        <w:keepNext w:val="0"/>
        <w:keepLines w:val="0"/>
        <w:widowControl w:val="0"/>
        <w:suppressLineNumbers w:val="0"/>
        <w:overflowPunct w:val="0"/>
        <w:autoSpaceDE w:val="0"/>
        <w:autoSpaceDN/>
        <w:adjustRightInd w:val="0"/>
        <w:snapToGrid w:val="0"/>
        <w:spacing w:before="0" w:beforeAutospacing="0" w:after="0" w:afterAutospacing="0" w:line="400" w:lineRule="exact"/>
        <w:ind w:left="0" w:leftChars="0" w:right="0" w:firstLine="400" w:firstLineChars="200"/>
        <w:jc w:val="both"/>
        <w:rPr>
          <w:rFonts w:hint="default" w:ascii="FreeSerif" w:hAnsi="FreeSerif" w:eastAsia="方正仿宋_GBK" w:cs="FreeSerif"/>
          <w:b w:val="0"/>
          <w:spacing w:val="0"/>
          <w:kern w:val="2"/>
          <w:sz w:val="20"/>
          <w:szCs w:val="20"/>
        </w:rPr>
      </w:pPr>
      <w:r>
        <w:rPr>
          <w:rFonts w:hint="default" w:ascii="FreeSerif" w:hAnsi="FreeSerif" w:eastAsia="方正仿宋_GBK" w:cs="FreeSerif"/>
          <w:b w:val="0"/>
          <w:snapToGrid/>
          <w:spacing w:val="0"/>
          <w:kern w:val="2"/>
          <w:sz w:val="20"/>
          <w:szCs w:val="20"/>
          <w:lang w:val="en-US" w:eastAsia="zh-CN" w:bidi="ar"/>
        </w:rPr>
        <w:t>注：1．重点建设用地指用途变更为住宅、公共管理与公共服务用地的所有地块。</w:t>
      </w:r>
    </w:p>
    <w:p>
      <w:pPr>
        <w:keepNext w:val="0"/>
        <w:keepLines w:val="0"/>
        <w:widowControl w:val="0"/>
        <w:suppressLineNumbers w:val="0"/>
        <w:overflowPunct w:val="0"/>
        <w:autoSpaceDE w:val="0"/>
        <w:autoSpaceDN/>
        <w:adjustRightInd w:val="0"/>
        <w:snapToGrid w:val="0"/>
        <w:spacing w:before="0" w:beforeAutospacing="0" w:after="0" w:afterAutospacing="0" w:line="400" w:lineRule="exact"/>
        <w:ind w:left="1078" w:leftChars="380" w:right="0" w:hanging="280" w:hangingChars="140"/>
        <w:jc w:val="both"/>
        <w:rPr>
          <w:rFonts w:hint="default" w:ascii="FreeSerif" w:hAnsi="FreeSerif" w:eastAsia="方正仿宋_GBK" w:cs="FreeSerif"/>
          <w:b w:val="0"/>
          <w:spacing w:val="0"/>
          <w:kern w:val="2"/>
          <w:sz w:val="20"/>
          <w:szCs w:val="20"/>
        </w:rPr>
      </w:pPr>
      <w:r>
        <w:rPr>
          <w:rFonts w:hint="default" w:ascii="FreeSerif" w:hAnsi="FreeSerif" w:eastAsia="方正仿宋_GBK" w:cs="FreeSerif"/>
          <w:b w:val="0"/>
          <w:snapToGrid/>
          <w:spacing w:val="0"/>
          <w:kern w:val="2"/>
          <w:sz w:val="20"/>
          <w:szCs w:val="20"/>
          <w:lang w:val="en-US" w:eastAsia="zh-CN" w:bidi="ar"/>
        </w:rPr>
        <w:t>2．地下水国控点位V类水比例指国家级地下水质区域监测点位中，水质为Ⅴ类的点位所占比例。2020年现状值是25</w:t>
      </w:r>
      <w:r>
        <w:rPr>
          <w:rFonts w:hint="default" w:ascii="FreeSerif" w:hAnsi="FreeSerif" w:eastAsia="CESI楷体-GB13000" w:cs="FreeSerif"/>
          <w:b w:val="0"/>
          <w:snapToGrid/>
          <w:spacing w:val="0"/>
          <w:kern w:val="2"/>
          <w:sz w:val="20"/>
          <w:szCs w:val="20"/>
          <w:lang w:val="en-US" w:eastAsia="zh-CN" w:bidi="ar"/>
        </w:rPr>
        <w:t>％</w:t>
      </w:r>
      <w:r>
        <w:rPr>
          <w:rFonts w:hint="default" w:ascii="FreeSerif" w:hAnsi="FreeSerif" w:eastAsia="方正仿宋_GBK" w:cs="FreeSerif"/>
          <w:b w:val="0"/>
          <w:snapToGrid/>
          <w:spacing w:val="0"/>
          <w:kern w:val="2"/>
          <w:sz w:val="20"/>
          <w:szCs w:val="20"/>
          <w:lang w:val="en-US" w:eastAsia="zh-CN" w:bidi="ar"/>
        </w:rPr>
        <w:t>左右，2025年目标值是33.3</w:t>
      </w:r>
      <w:r>
        <w:rPr>
          <w:rFonts w:hint="default" w:ascii="FreeSerif" w:hAnsi="FreeSerif" w:eastAsia="CESI楷体-GB13000" w:cs="FreeSerif"/>
          <w:b w:val="0"/>
          <w:snapToGrid/>
          <w:spacing w:val="0"/>
          <w:kern w:val="2"/>
          <w:sz w:val="20"/>
          <w:szCs w:val="20"/>
          <w:lang w:val="en-US" w:eastAsia="zh-CN" w:bidi="ar"/>
        </w:rPr>
        <w:t>％</w:t>
      </w:r>
      <w:r>
        <w:rPr>
          <w:rFonts w:hint="default" w:ascii="FreeSerif" w:hAnsi="FreeSerif" w:eastAsia="方正仿宋_GBK" w:cs="FreeSerif"/>
          <w:b w:val="0"/>
          <w:snapToGrid/>
          <w:spacing w:val="0"/>
          <w:kern w:val="2"/>
          <w:sz w:val="20"/>
          <w:szCs w:val="20"/>
          <w:lang w:val="en-US" w:eastAsia="zh-CN" w:bidi="ar"/>
        </w:rPr>
        <w:t>左右。</w:t>
      </w:r>
    </w:p>
    <w:p>
      <w:pPr>
        <w:keepNext w:val="0"/>
        <w:keepLines w:val="0"/>
        <w:widowControl w:val="0"/>
        <w:suppressLineNumbers w:val="0"/>
        <w:overflowPunct w:val="0"/>
        <w:autoSpaceDE w:val="0"/>
        <w:autoSpaceDN/>
        <w:adjustRightInd w:val="0"/>
        <w:snapToGrid w:val="0"/>
        <w:spacing w:before="0" w:beforeAutospacing="0" w:after="0" w:afterAutospacing="0" w:line="400" w:lineRule="exact"/>
        <w:ind w:left="0" w:leftChars="0" w:right="0" w:firstLine="800" w:firstLineChars="400"/>
        <w:jc w:val="both"/>
        <w:rPr>
          <w:rFonts w:hint="default" w:ascii="FreeSerif" w:hAnsi="FreeSerif" w:eastAsia="方正仿宋_GBK" w:cs="FreeSerif"/>
          <w:b w:val="0"/>
          <w:snapToGrid/>
          <w:spacing w:val="0"/>
          <w:kern w:val="2"/>
          <w:sz w:val="20"/>
          <w:szCs w:val="20"/>
          <w:lang w:val="en-US" w:eastAsia="zh-CN" w:bidi="ar"/>
        </w:rPr>
      </w:pPr>
      <w:r>
        <w:rPr>
          <w:rFonts w:hint="default" w:ascii="FreeSerif" w:hAnsi="FreeSerif" w:eastAsia="方正仿宋_GBK" w:cs="FreeSerif"/>
          <w:b w:val="0"/>
          <w:snapToGrid/>
          <w:spacing w:val="0"/>
          <w:kern w:val="2"/>
          <w:sz w:val="20"/>
          <w:szCs w:val="20"/>
          <w:lang w:val="en-US" w:eastAsia="zh-CN" w:bidi="ar"/>
        </w:rPr>
        <w:t>3．“双源”即集中式地下水型饮用水源和地下水污染源。</w:t>
      </w:r>
    </w:p>
    <w:p>
      <w:pPr>
        <w:keepNext w:val="0"/>
        <w:keepLines w:val="0"/>
        <w:widowControl w:val="0"/>
        <w:suppressLineNumbers w:val="0"/>
        <w:overflowPunct w:val="0"/>
        <w:autoSpaceDE w:val="0"/>
        <w:autoSpaceDN/>
        <w:adjustRightInd w:val="0"/>
        <w:snapToGrid w:val="0"/>
        <w:spacing w:before="0" w:beforeAutospacing="0" w:after="0" w:afterAutospacing="0" w:line="400" w:lineRule="exact"/>
        <w:ind w:left="0" w:leftChars="0" w:right="0" w:firstLine="800" w:firstLineChars="400"/>
        <w:jc w:val="both"/>
        <w:rPr>
          <w:rFonts w:hint="default" w:ascii="FreeSerif" w:hAnsi="FreeSerif" w:eastAsia="方正仿宋_GBK" w:cs="FreeSerif"/>
          <w:b w:val="0"/>
          <w:spacing w:val="-6"/>
          <w:kern w:val="2"/>
          <w:sz w:val="20"/>
          <w:szCs w:val="20"/>
        </w:rPr>
      </w:pPr>
      <w:r>
        <w:rPr>
          <w:rFonts w:hint="default" w:ascii="FreeSerif" w:hAnsi="FreeSerif" w:eastAsia="方正仿宋_GBK" w:cs="FreeSerif"/>
          <w:b w:val="0"/>
          <w:snapToGrid/>
          <w:spacing w:val="0"/>
          <w:kern w:val="2"/>
          <w:sz w:val="20"/>
          <w:szCs w:val="20"/>
          <w:lang w:val="en-US" w:eastAsia="zh-CN" w:bidi="ar"/>
        </w:rPr>
        <w:t>4．</w:t>
      </w:r>
      <w:r>
        <w:rPr>
          <w:rFonts w:hint="default" w:ascii="FreeSerif" w:hAnsi="FreeSerif" w:eastAsia="方正仿宋_GBK" w:cs="FreeSerif"/>
          <w:b w:val="0"/>
          <w:snapToGrid/>
          <w:spacing w:val="-6"/>
          <w:kern w:val="2"/>
          <w:sz w:val="20"/>
          <w:szCs w:val="20"/>
          <w:lang w:val="en-US" w:eastAsia="zh-CN" w:bidi="ar"/>
        </w:rPr>
        <w:t>农村生活污水治理率是指生活污水得到处理和资源化利用的行政村数占行政村总数的比例。</w:t>
      </w:r>
    </w:p>
    <w:p>
      <w:pPr>
        <w:pStyle w:val="3"/>
        <w:keepNext w:val="0"/>
        <w:keepLines w:val="0"/>
        <w:widowControl/>
        <w:suppressLineNumbers w:val="0"/>
        <w:autoSpaceDE w:val="0"/>
        <w:autoSpaceDN/>
        <w:spacing w:line="578" w:lineRule="exact"/>
        <w:ind w:left="0" w:leftChars="0" w:firstLine="643"/>
        <w:jc w:val="both"/>
        <w:outlineLvl w:val="0"/>
        <w:rPr>
          <w:rFonts w:hint="default" w:ascii="FreeSerif" w:hAnsi="FreeSerif" w:eastAsia="方正黑体_GBK" w:cs="FreeSerif"/>
          <w:b w:val="0"/>
          <w:kern w:val="44"/>
          <w:sz w:val="32"/>
          <w:szCs w:val="32"/>
        </w:rPr>
      </w:pPr>
      <w:bookmarkStart w:id="8" w:name="_Toc1915275397"/>
      <w:r>
        <w:rPr>
          <w:rFonts w:hint="default" w:ascii="FreeSerif" w:hAnsi="FreeSerif" w:eastAsia="方正黑体_GBK" w:cs="FreeSerif"/>
          <w:b w:val="0"/>
          <w:kern w:val="44"/>
          <w:sz w:val="32"/>
          <w:szCs w:val="32"/>
        </w:rPr>
        <w:t>三、主要任务</w:t>
      </w:r>
      <w:bookmarkEnd w:id="8"/>
    </w:p>
    <w:p>
      <w:pPr>
        <w:pStyle w:val="4"/>
        <w:keepNext w:val="0"/>
        <w:keepLines w:val="0"/>
        <w:widowControl/>
        <w:suppressLineNumbers w:val="0"/>
        <w:autoSpaceDE w:val="0"/>
        <w:autoSpaceDN/>
        <w:spacing w:line="578" w:lineRule="exact"/>
        <w:ind w:left="0" w:leftChars="0" w:firstLine="643"/>
        <w:jc w:val="both"/>
        <w:outlineLvl w:val="1"/>
        <w:rPr>
          <w:rFonts w:hint="default" w:ascii="FreeSerif" w:hAnsi="FreeSerif" w:eastAsia="方正仿宋_GBK" w:cs="FreeSerif"/>
          <w:b w:val="0"/>
          <w:bCs w:val="0"/>
          <w:kern w:val="2"/>
          <w:sz w:val="32"/>
          <w:szCs w:val="32"/>
        </w:rPr>
      </w:pPr>
      <w:bookmarkStart w:id="9" w:name="_Toc1440799583"/>
      <w:r>
        <w:rPr>
          <w:rFonts w:hint="default" w:ascii="FreeSerif" w:hAnsi="FreeSerif" w:eastAsia="方正楷体_GBK" w:cs="FreeSerif"/>
          <w:b w:val="0"/>
          <w:kern w:val="0"/>
          <w:sz w:val="32"/>
          <w:szCs w:val="32"/>
        </w:rPr>
        <w:t>（一）持续推进土壤污染防治攻坚行动</w:t>
      </w:r>
      <w:bookmarkEnd w:id="9"/>
      <w:r>
        <w:rPr>
          <w:rFonts w:hint="default" w:ascii="FreeSerif" w:hAnsi="FreeSerif" w:eastAsia="方正楷体_GBK" w:cs="FreeSerif"/>
          <w:b w:val="0"/>
          <w:kern w:val="0"/>
          <w:sz w:val="32"/>
          <w:szCs w:val="32"/>
          <w:lang w:eastAsia="zh-CN"/>
        </w:rPr>
        <w:t>。</w:t>
      </w:r>
      <w:r>
        <w:rPr>
          <w:rFonts w:hint="default" w:ascii="FreeSerif" w:hAnsi="FreeSerif" w:eastAsia="方正仿宋_GBK" w:cs="FreeSerif"/>
          <w:b w:val="0"/>
          <w:bCs w:val="0"/>
          <w:snapToGrid/>
          <w:kern w:val="2"/>
          <w:sz w:val="32"/>
          <w:szCs w:val="32"/>
          <w:lang w:val="en-US" w:eastAsia="zh-CN" w:bidi="ar"/>
        </w:rPr>
        <w:t>按照</w:t>
      </w:r>
      <w:r>
        <w:rPr>
          <w:rFonts w:hint="eastAsia" w:ascii="方正仿宋_GBK" w:hAnsi="方正仿宋_GBK" w:eastAsia="方正仿宋_GBK" w:cs="方正仿宋_GBK"/>
          <w:b w:val="0"/>
          <w:bCs w:val="0"/>
          <w:snapToGrid/>
          <w:kern w:val="2"/>
          <w:sz w:val="32"/>
          <w:szCs w:val="32"/>
          <w:lang w:val="en-US" w:eastAsia="zh-CN" w:bidi="ar"/>
        </w:rPr>
        <w:t>“控源头、防新增、重监管、保安全”的思路，强化土壤污染源</w:t>
      </w:r>
      <w:r>
        <w:rPr>
          <w:rFonts w:hint="default" w:ascii="FreeSerif" w:hAnsi="FreeSerif" w:eastAsia="方正仿宋_GBK" w:cs="FreeSerif"/>
          <w:b w:val="0"/>
          <w:bCs w:val="0"/>
          <w:snapToGrid/>
          <w:kern w:val="2"/>
          <w:sz w:val="32"/>
          <w:szCs w:val="32"/>
          <w:lang w:val="en-US" w:eastAsia="zh-CN" w:bidi="ar"/>
        </w:rPr>
        <w:t>头管控，防止新增土壤污染，消除污染存量。加强黑土地保护，巩固提升农用地分类管理。以用途变更为住宅、公共管理与公共服务等用地的污染地块为重点，因地制宜严格准入管理，杜绝违规开发利用。以土壤污染重点监管单位为重点，强化监管和执法检查，防止新增土壤污染。</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仿宋_GBK" w:cs="FreeSerif"/>
          <w:b w:val="0"/>
          <w:kern w:val="2"/>
          <w:sz w:val="32"/>
          <w:szCs w:val="32"/>
        </w:rPr>
      </w:pPr>
      <w:r>
        <w:rPr>
          <w:rFonts w:hint="default" w:ascii="FreeSerif" w:hAnsi="FreeSerif" w:eastAsia="方正仿宋_GBK" w:cs="FreeSerif"/>
          <w:b w:val="0"/>
          <w:snapToGrid/>
          <w:kern w:val="2"/>
          <w:sz w:val="32"/>
          <w:szCs w:val="32"/>
          <w:lang w:val="en-US" w:eastAsia="zh-CN" w:bidi="ar"/>
        </w:rPr>
        <w:t>1．推进土壤污染防治。</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楷体_GBK" w:cs="FreeSerif"/>
          <w:b w:val="0"/>
          <w:kern w:val="2"/>
          <w:sz w:val="32"/>
          <w:szCs w:val="32"/>
        </w:rPr>
      </w:pPr>
      <w:r>
        <w:rPr>
          <w:rFonts w:hint="default" w:ascii="FreeSerif" w:hAnsi="FreeSerif" w:eastAsia="方正仿宋_GBK" w:cs="FreeSerif"/>
          <w:snapToGrid/>
          <w:kern w:val="2"/>
          <w:sz w:val="32"/>
          <w:szCs w:val="32"/>
          <w:lang w:val="en-US" w:eastAsia="zh-CN" w:bidi="ar"/>
        </w:rPr>
        <w:t>强化土壤污染源头管控。动态更新重点区域和污染源排查整治清单，编制整治方案，分批次完成整治，保障粮食安全。依据《大气污染防治法》《水污染防治法》以及重点排污单位名录管理有关规定，将符合筛选条件的排放镉、汞、砷、铅、铬等有毒有害大气、水污染物的企业纳入大气、水污染物重点排污单位名录。2023年年底前，对纳入大气重点排污单位名录的涉镉等重金属排放企业，对大气污染物中的颗粒物按排污许可证规定实现自动监测，并与生态环境主管部门的监控设备联网。严格控制耕地周边涉重工矿企业污染物排放，鼓励企业开展重金属污染物减排和提标改造。</w:t>
      </w:r>
      <w:r>
        <w:rPr>
          <w:rFonts w:hint="default" w:ascii="FreeSerif" w:hAnsi="FreeSerif" w:eastAsia="方正楷体_GBK" w:cs="FreeSerif"/>
          <w:b w:val="0"/>
          <w:snapToGrid/>
          <w:kern w:val="2"/>
          <w:sz w:val="32"/>
          <w:szCs w:val="32"/>
          <w:lang w:val="en-US" w:eastAsia="zh-CN" w:bidi="ar"/>
        </w:rPr>
        <w:t>（市生态环境局、市工信局、市农业农村局、市自然资源局等按职责分工负责）</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楷体_GBK" w:cs="FreeSerif"/>
          <w:b w:val="0"/>
          <w:kern w:val="2"/>
          <w:sz w:val="32"/>
          <w:szCs w:val="32"/>
        </w:rPr>
      </w:pPr>
      <w:r>
        <w:rPr>
          <w:rFonts w:hint="default" w:ascii="FreeSerif" w:hAnsi="FreeSerif" w:eastAsia="方正仿宋_GBK" w:cs="FreeSerif"/>
          <w:snapToGrid/>
          <w:kern w:val="2"/>
          <w:sz w:val="32"/>
          <w:szCs w:val="32"/>
          <w:lang w:val="en-US" w:eastAsia="zh-CN" w:bidi="ar"/>
        </w:rPr>
        <w:t>排查整治涉重金属关停企业和矿区历史遗留固体废物。应用卫星遥感、无人机和现场踏勘等方式，全面排查涉镉等重金属排放企业（关停）遗留工业固体废物矿区无序堆存的历史遗留废物，建立排查清单，对需要整治的列入整治清单。根据排查结果及污染风险，制定整治方案，分阶段治理，逐步消除存量，降低矿区废物污染灌溉用水或随洪水进入农田的风险。优先对周边及下游耕地土壤污染较重地区采取风险管控措施，有效切断污染物进入农田的途径。</w:t>
      </w:r>
      <w:r>
        <w:rPr>
          <w:rFonts w:hint="default" w:ascii="FreeSerif" w:hAnsi="FreeSerif" w:eastAsia="方正楷体_GBK" w:cs="FreeSerif"/>
          <w:b w:val="0"/>
          <w:snapToGrid/>
          <w:kern w:val="2"/>
          <w:sz w:val="32"/>
          <w:szCs w:val="32"/>
          <w:lang w:val="en-US" w:eastAsia="zh-CN" w:bidi="ar"/>
        </w:rPr>
        <w:t>（市生态环境局、市自然资源局、市农业农村局等按职责分工负责）</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楷体_GBK" w:cs="FreeSerif"/>
          <w:b w:val="0"/>
          <w:kern w:val="2"/>
          <w:sz w:val="32"/>
          <w:szCs w:val="32"/>
        </w:rPr>
      </w:pPr>
      <w:r>
        <w:rPr>
          <w:rFonts w:hint="default" w:ascii="FreeSerif" w:hAnsi="FreeSerif" w:eastAsia="方正仿宋_GBK" w:cs="FreeSerif"/>
          <w:snapToGrid/>
          <w:kern w:val="2"/>
          <w:sz w:val="32"/>
          <w:szCs w:val="32"/>
          <w:lang w:val="en-US" w:eastAsia="zh-CN" w:bidi="ar"/>
        </w:rPr>
        <w:t>防控矿产资源开发污染土壤。市安全生产监督管理部门应当监督尾矿库运营、管理单位履行土壤污染防治的法定义务，防止其发生可能污染土壤的事故。</w:t>
      </w:r>
      <w:r>
        <w:rPr>
          <w:rFonts w:hint="default" w:ascii="FreeSerif" w:hAnsi="FreeSerif" w:eastAsia="方正楷体_GBK" w:cs="FreeSerif"/>
          <w:b w:val="0"/>
          <w:snapToGrid/>
          <w:kern w:val="2"/>
          <w:sz w:val="32"/>
          <w:szCs w:val="32"/>
          <w:lang w:val="en-US" w:eastAsia="zh-CN" w:bidi="ar"/>
        </w:rPr>
        <w:t>（市应急管理局负责）</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楷体_GBK" w:cs="FreeSerif"/>
          <w:b w:val="0"/>
          <w:kern w:val="2"/>
          <w:sz w:val="32"/>
          <w:szCs w:val="32"/>
        </w:rPr>
      </w:pPr>
      <w:r>
        <w:rPr>
          <w:rFonts w:hint="default" w:ascii="FreeSerif" w:hAnsi="FreeSerif" w:eastAsia="方正仿宋_GBK" w:cs="FreeSerif"/>
          <w:snapToGrid/>
          <w:kern w:val="2"/>
          <w:sz w:val="32"/>
          <w:szCs w:val="32"/>
          <w:lang w:val="en-US" w:eastAsia="zh-CN" w:bidi="ar"/>
        </w:rPr>
        <w:t>督促采矿权人履行矿山地质环境恢复治理义务，预防和减少矿业活动对生态环境的污染破坏。将绿色矿业发展示范区建设与工矿废弃地复垦利用、矿山地质环境治理恢复、矿区土壤污染治理、土地整治等工作统筹推进。加强重有色金属矿区污染综合整治，因地制宜管控矿区污染土壤和酸性废水环境风险，重点保障农业生产和生活用水安全，鼓励采取自然恢复等措施。</w:t>
      </w:r>
      <w:r>
        <w:rPr>
          <w:rFonts w:hint="default" w:ascii="FreeSerif" w:hAnsi="FreeSerif" w:eastAsia="方正楷体_GBK" w:cs="FreeSerif"/>
          <w:b w:val="0"/>
          <w:snapToGrid/>
          <w:kern w:val="2"/>
          <w:sz w:val="32"/>
          <w:szCs w:val="32"/>
          <w:lang w:val="en-US" w:eastAsia="zh-CN" w:bidi="ar"/>
        </w:rPr>
        <w:t>（市自然资源局、市生态环境局等按职责分工负责）</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楷体_GBK" w:cs="FreeSerif"/>
          <w:b w:val="0"/>
          <w:kern w:val="2"/>
          <w:sz w:val="32"/>
          <w:szCs w:val="32"/>
        </w:rPr>
      </w:pPr>
      <w:r>
        <w:rPr>
          <w:rFonts w:hint="default" w:ascii="FreeSerif" w:hAnsi="FreeSerif" w:eastAsia="方正仿宋_GBK" w:cs="FreeSerif"/>
          <w:snapToGrid/>
          <w:kern w:val="2"/>
          <w:sz w:val="32"/>
          <w:szCs w:val="32"/>
          <w:lang w:val="en-US" w:eastAsia="zh-CN" w:bidi="ar"/>
        </w:rPr>
        <w:t>推动实施绿色化改造。聚焦重有色金属采选和冶炼、涉重金属无机化合物工业等重点行业，以大安市、洮北区、镇赉县等产业集中地区为重点，开展企业绿色化提标改造。加快实施钢铁、石化、化工、有色等行业绿色升级。鼓励土壤污染重点监管单位因地制宜实施管道化、密闭化改造，重点区域防腐防渗改造，以及物料、污水、废气管线架空建设和改造，从源头上消除土壤污染。</w:t>
      </w:r>
      <w:r>
        <w:rPr>
          <w:rFonts w:hint="default" w:ascii="FreeSerif" w:hAnsi="FreeSerif" w:eastAsia="方正楷体_GBK" w:cs="FreeSerif"/>
          <w:b w:val="0"/>
          <w:snapToGrid/>
          <w:kern w:val="2"/>
          <w:sz w:val="32"/>
          <w:szCs w:val="32"/>
          <w:lang w:val="en-US" w:eastAsia="zh-CN" w:bidi="ar"/>
        </w:rPr>
        <w:t>（市工信局、市发改委、市生态环境局等按职责分工负责）</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仿宋" w:cs="FreeSerif"/>
          <w:b/>
          <w:kern w:val="2"/>
          <w:sz w:val="32"/>
          <w:szCs w:val="32"/>
        </w:rPr>
      </w:pPr>
      <w:r>
        <w:rPr>
          <w:rFonts w:hint="default" w:ascii="FreeSerif" w:hAnsi="FreeSerif" w:eastAsia="方正仿宋_GBK" w:cs="FreeSerif"/>
          <w:snapToGrid/>
          <w:kern w:val="2"/>
          <w:sz w:val="32"/>
          <w:szCs w:val="32"/>
          <w:lang w:val="en-US" w:eastAsia="zh-CN" w:bidi="ar"/>
        </w:rPr>
        <w:t>推进耕地污染成因排查。以农用地土壤污染状况详查结果为基础，涉及耕地镉等重金属污染问题的地区，开展耕地重金属污染途径识别和污染源头追溯，查明污染成因，实施污染源头阻断工程。</w:t>
      </w:r>
      <w:r>
        <w:rPr>
          <w:rFonts w:hint="default" w:ascii="FreeSerif" w:hAnsi="FreeSerif" w:eastAsia="方正楷体_GBK" w:cs="FreeSerif"/>
          <w:b w:val="0"/>
          <w:snapToGrid/>
          <w:kern w:val="2"/>
          <w:sz w:val="32"/>
          <w:szCs w:val="32"/>
          <w:lang w:val="en-US" w:eastAsia="zh-CN" w:bidi="ar"/>
        </w:rPr>
        <w:t>（市生态环境局、市农业农村局等按职责分工负责）</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仿宋_GBK" w:cs="FreeSerif"/>
          <w:b w:val="0"/>
          <w:kern w:val="2"/>
          <w:sz w:val="32"/>
          <w:szCs w:val="32"/>
        </w:rPr>
      </w:pPr>
      <w:r>
        <w:rPr>
          <w:rFonts w:hint="default" w:ascii="FreeSerif" w:hAnsi="FreeSerif" w:eastAsia="方正仿宋_GBK" w:cs="FreeSerif"/>
          <w:b w:val="0"/>
          <w:snapToGrid/>
          <w:kern w:val="2"/>
          <w:sz w:val="32"/>
          <w:szCs w:val="32"/>
          <w:lang w:val="en-US" w:eastAsia="zh-CN" w:bidi="ar"/>
        </w:rPr>
        <w:t>2．防范工矿企业用地新增土壤污染。</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楷体_GB2312" w:cs="FreeSerif"/>
          <w:b/>
          <w:kern w:val="2"/>
          <w:sz w:val="32"/>
          <w:szCs w:val="32"/>
        </w:rPr>
      </w:pPr>
      <w:r>
        <w:rPr>
          <w:rFonts w:hint="default" w:ascii="FreeSerif" w:hAnsi="FreeSerif" w:eastAsia="方正仿宋_GBK" w:cs="FreeSerif"/>
          <w:snapToGrid/>
          <w:kern w:val="2"/>
          <w:sz w:val="32"/>
          <w:szCs w:val="32"/>
          <w:lang w:val="en-US" w:eastAsia="zh-CN" w:bidi="ar"/>
        </w:rPr>
        <w:t>严格建设项目土壤环境影响评价制度。对涉及有毒有害物质可能造成土壤污染的新（改、扩）建项目，依法进行环境影响评价，提出并落实防腐蚀、防渗漏、防遗撒等土壤污染防治具体措施。</w:t>
      </w:r>
      <w:r>
        <w:rPr>
          <w:rFonts w:hint="default" w:ascii="FreeSerif" w:hAnsi="FreeSerif" w:eastAsia="方正楷体_GBK" w:cs="FreeSerif"/>
          <w:b w:val="0"/>
          <w:snapToGrid/>
          <w:kern w:val="2"/>
          <w:sz w:val="32"/>
          <w:szCs w:val="32"/>
          <w:lang w:val="en-US" w:eastAsia="zh-CN" w:bidi="ar"/>
        </w:rPr>
        <w:t>（市生态环境局负责）</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楷体_GBK" w:cs="FreeSerif"/>
          <w:b w:val="0"/>
          <w:kern w:val="2"/>
          <w:sz w:val="32"/>
          <w:szCs w:val="32"/>
        </w:rPr>
      </w:pPr>
      <w:r>
        <w:rPr>
          <w:rFonts w:hint="default" w:ascii="FreeSerif" w:hAnsi="FreeSerif" w:eastAsia="方正仿宋_GBK" w:cs="FreeSerif"/>
          <w:snapToGrid/>
          <w:kern w:val="2"/>
          <w:sz w:val="32"/>
          <w:szCs w:val="32"/>
          <w:lang w:val="en-US" w:eastAsia="zh-CN" w:bidi="ar"/>
        </w:rPr>
        <w:t>强化重点监管单位监管。根据典型行业有毒有害物质排放、腾退地块土壤污染情况、重点行业企业用地土壤污染状况调查结果，动态更新增补土壤污染重点监管单位名录。监督企业全面落实自行监测、隐患排查等土壤污染防治义务。2025年年底前，至少完成一轮土壤和地下水污染隐患排查整改，以及土壤污染重点监管单位周边土壤环境监督性监测。加强企业拆除活动污染防治现场检查，督促企业落实拆除活动污染防治措施。</w:t>
      </w:r>
      <w:r>
        <w:rPr>
          <w:rFonts w:hint="default" w:ascii="FreeSerif" w:hAnsi="FreeSerif" w:eastAsia="方正楷体_GBK" w:cs="FreeSerif"/>
          <w:b w:val="0"/>
          <w:snapToGrid/>
          <w:kern w:val="2"/>
          <w:sz w:val="32"/>
          <w:szCs w:val="32"/>
          <w:lang w:val="en-US" w:eastAsia="zh-CN" w:bidi="ar"/>
        </w:rPr>
        <w:t>（市生态环境局、市工信局等按职责分工负责）</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仿宋_GBK" w:cs="FreeSerif"/>
          <w:b w:val="0"/>
          <w:kern w:val="2"/>
          <w:sz w:val="32"/>
          <w:szCs w:val="32"/>
        </w:rPr>
      </w:pPr>
      <w:r>
        <w:rPr>
          <w:rFonts w:hint="default" w:ascii="FreeSerif" w:hAnsi="FreeSerif" w:eastAsia="方正仿宋_GBK" w:cs="FreeSerif"/>
          <w:b w:val="0"/>
          <w:snapToGrid/>
          <w:kern w:val="2"/>
          <w:sz w:val="32"/>
          <w:szCs w:val="32"/>
          <w:lang w:val="en-US" w:eastAsia="zh-CN" w:bidi="ar"/>
        </w:rPr>
        <w:t>3．巩固提升耕地分类管理。</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楷体_GBK" w:cs="FreeSerif"/>
          <w:b w:val="0"/>
          <w:kern w:val="2"/>
          <w:sz w:val="32"/>
          <w:szCs w:val="32"/>
        </w:rPr>
      </w:pPr>
      <w:r>
        <w:rPr>
          <w:rFonts w:hint="default" w:ascii="FreeSerif" w:hAnsi="FreeSerif" w:eastAsia="方正仿宋_GBK" w:cs="FreeSerif"/>
          <w:snapToGrid/>
          <w:kern w:val="2"/>
          <w:sz w:val="32"/>
          <w:szCs w:val="32"/>
          <w:lang w:val="en-US" w:eastAsia="zh-CN" w:bidi="ar"/>
        </w:rPr>
        <w:t>加大耕地保护力度。坚持最严格的耕地保护制度，强化国土空间规划和用途管控，落实永久基本农田控制线。永久基本农田集中区域，不得规划新建可能造成土壤污染的建设项目。</w:t>
      </w:r>
      <w:r>
        <w:rPr>
          <w:rFonts w:hint="default" w:ascii="FreeSerif" w:hAnsi="FreeSerif" w:eastAsia="方正楷体_GBK" w:cs="FreeSerif"/>
          <w:b w:val="0"/>
          <w:snapToGrid/>
          <w:kern w:val="2"/>
          <w:sz w:val="32"/>
          <w:szCs w:val="32"/>
          <w:lang w:val="en-US" w:eastAsia="zh-CN" w:bidi="ar"/>
        </w:rPr>
        <w:t>（市自然资源局、市生态环境局、市农业农村局等按职责分工负责）</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楷体_GBK" w:cs="FreeSerif"/>
          <w:b w:val="0"/>
          <w:kern w:val="2"/>
          <w:sz w:val="32"/>
          <w:szCs w:val="32"/>
        </w:rPr>
      </w:pPr>
      <w:r>
        <w:rPr>
          <w:rFonts w:hint="default" w:ascii="FreeSerif" w:hAnsi="FreeSerif" w:eastAsia="方正仿宋_GBK" w:cs="FreeSerif"/>
          <w:snapToGrid/>
          <w:kern w:val="2"/>
          <w:sz w:val="32"/>
          <w:szCs w:val="32"/>
          <w:lang w:val="en-US" w:eastAsia="zh-CN" w:bidi="ar"/>
        </w:rPr>
        <w:t>强化黑土地综合保护，因地制宜推广秸秆还田“梨树模式”，推广绿色生产技术。加大优先保护类耕地保护力度，确保其面积不减少、土壤环境质量不下降。加强农业投入品质量监管，从严查处向农田施用不达标肥料等农业投入品的行为。</w:t>
      </w:r>
      <w:r>
        <w:rPr>
          <w:rFonts w:hint="default" w:ascii="FreeSerif" w:hAnsi="FreeSerif" w:eastAsia="方正楷体_GBK" w:cs="FreeSerif"/>
          <w:b w:val="0"/>
          <w:snapToGrid/>
          <w:kern w:val="2"/>
          <w:sz w:val="32"/>
          <w:szCs w:val="32"/>
          <w:lang w:val="en-US" w:eastAsia="zh-CN" w:bidi="ar"/>
        </w:rPr>
        <w:t>（市农业农村局、市自然资源局、市生态环境局等按职责分工负责）</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楷体_GBK" w:cs="FreeSerif"/>
          <w:b w:val="0"/>
          <w:kern w:val="2"/>
          <w:sz w:val="32"/>
          <w:szCs w:val="32"/>
        </w:rPr>
      </w:pPr>
      <w:r>
        <w:rPr>
          <w:rFonts w:hint="default" w:ascii="FreeSerif" w:hAnsi="FreeSerif" w:eastAsia="方正仿宋_GBK" w:cs="FreeSerif"/>
          <w:snapToGrid/>
          <w:kern w:val="2"/>
          <w:sz w:val="32"/>
          <w:szCs w:val="32"/>
          <w:lang w:val="en-US" w:eastAsia="zh-CN" w:bidi="ar"/>
        </w:rPr>
        <w:t>巩固提升农用地安全利用。加快推进洮北区受污染耕地安全利用项目，总结洮北区农用地安全利用技术模式，持续推进全市受污染耕地安全利用，推广应用品种替代、水肥调控、生理阻隔、土壤调理等安全利用技术，到2025年，全市受污染耕地安全利用率达到95.2</w:t>
      </w:r>
      <w:r>
        <w:rPr>
          <w:rFonts w:hint="default" w:ascii="FreeSerif" w:hAnsi="FreeSerif" w:eastAsia="CESI楷体-GB13000" w:cs="FreeSerif"/>
          <w:snapToGrid/>
          <w:kern w:val="2"/>
          <w:sz w:val="32"/>
          <w:szCs w:val="32"/>
          <w:lang w:val="en-US" w:eastAsia="zh-CN" w:bidi="ar"/>
        </w:rPr>
        <w:t>％</w:t>
      </w:r>
      <w:r>
        <w:rPr>
          <w:rFonts w:hint="default" w:ascii="FreeSerif" w:hAnsi="FreeSerif" w:eastAsia="方正仿宋_GBK" w:cs="FreeSerif"/>
          <w:snapToGrid/>
          <w:kern w:val="2"/>
          <w:sz w:val="32"/>
          <w:szCs w:val="32"/>
          <w:lang w:val="en-US" w:eastAsia="zh-CN" w:bidi="ar"/>
        </w:rPr>
        <w:t>左右。落实省</w:t>
      </w:r>
      <w:r>
        <w:rPr>
          <w:rFonts w:hint="eastAsia" w:ascii="方正仿宋_GBK" w:hAnsi="方正仿宋_GBK" w:eastAsia="方正仿宋_GBK" w:cs="方正仿宋_GBK"/>
          <w:snapToGrid/>
          <w:kern w:val="2"/>
          <w:sz w:val="32"/>
          <w:szCs w:val="32"/>
          <w:lang w:val="en-US" w:eastAsia="zh-CN" w:bidi="ar"/>
        </w:rPr>
        <w:t>制定“十四五”耕</w:t>
      </w:r>
      <w:r>
        <w:rPr>
          <w:rFonts w:hint="default" w:ascii="FreeSerif" w:hAnsi="FreeSerif" w:eastAsia="方正仿宋_GBK" w:cs="FreeSerif"/>
          <w:snapToGrid/>
          <w:kern w:val="2"/>
          <w:sz w:val="32"/>
          <w:szCs w:val="32"/>
          <w:lang w:val="en-US" w:eastAsia="zh-CN" w:bidi="ar"/>
        </w:rPr>
        <w:t>地安全利用方案及年度工作计划。</w:t>
      </w:r>
      <w:r>
        <w:rPr>
          <w:rFonts w:hint="default" w:ascii="FreeSerif" w:hAnsi="FreeSerif" w:eastAsia="方正楷体_GBK" w:cs="FreeSerif"/>
          <w:b w:val="0"/>
          <w:snapToGrid/>
          <w:kern w:val="2"/>
          <w:sz w:val="32"/>
          <w:szCs w:val="32"/>
          <w:lang w:val="en-US" w:eastAsia="zh-CN" w:bidi="ar"/>
        </w:rPr>
        <w:t>（市农业农村局、市生态环境局等按职责分工负责）</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楷体_GBK" w:cs="FreeSerif"/>
          <w:b w:val="0"/>
          <w:kern w:val="2"/>
          <w:sz w:val="32"/>
          <w:szCs w:val="32"/>
        </w:rPr>
      </w:pPr>
      <w:r>
        <w:rPr>
          <w:rFonts w:hint="default" w:ascii="FreeSerif" w:hAnsi="FreeSerif" w:eastAsia="方正仿宋_GBK" w:cs="FreeSerif"/>
          <w:snapToGrid/>
          <w:kern w:val="2"/>
          <w:sz w:val="32"/>
          <w:szCs w:val="32"/>
          <w:lang w:val="en-US" w:eastAsia="zh-CN" w:bidi="ar"/>
        </w:rPr>
        <w:t>加强严格管控类耕地风险管控。鼓励采取种植结构调整、按规定退耕还林还草等措施，确保严格管控类耕地退出玉米等口粮种植。将列入严格管控类且无法恢复治理的耕地，进行整改补划，并对粮食生产功能区和重要农产品生产保护区进行相应调整。探索利用卫星遥感等技术开展严格管控类耕地种植结构调整等措施实施情况监测。</w:t>
      </w:r>
      <w:r>
        <w:rPr>
          <w:rFonts w:hint="default" w:ascii="FreeSerif" w:hAnsi="FreeSerif" w:eastAsia="方正楷体_GBK" w:cs="FreeSerif"/>
          <w:b w:val="0"/>
          <w:snapToGrid/>
          <w:kern w:val="2"/>
          <w:sz w:val="32"/>
          <w:szCs w:val="32"/>
          <w:lang w:val="en-US" w:eastAsia="zh-CN" w:bidi="ar"/>
        </w:rPr>
        <w:t>（市农业农村局、市林草局、市生态环境局、市自然资源局等按职责分工负责）</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楷体_GBK" w:cs="FreeSerif"/>
          <w:b w:val="0"/>
          <w:kern w:val="2"/>
          <w:sz w:val="32"/>
          <w:szCs w:val="32"/>
        </w:rPr>
      </w:pPr>
      <w:r>
        <w:rPr>
          <w:rFonts w:hint="default" w:ascii="FreeSerif" w:hAnsi="FreeSerif" w:eastAsia="方正仿宋_GBK" w:cs="FreeSerif"/>
          <w:snapToGrid/>
          <w:kern w:val="2"/>
          <w:sz w:val="32"/>
          <w:szCs w:val="32"/>
          <w:lang w:val="en-US" w:eastAsia="zh-CN" w:bidi="ar"/>
        </w:rPr>
        <w:t>严禁重金属超标粮食流入口粮市场。加大对安全利用类耕地和严格管控类耕地产出的农产品临田检测力度，加强超标粮食处置。强化对重点地区粮食收购和加工企业的监管，督促开展收购和加工粮食的重金属检测，对于超标的，专仓收储，严格管理，未经无害化处理，严禁流入口粮市场。对市场中流通的玉米、大米及米制品，加大抽检力度，发现问题及时处理。</w:t>
      </w:r>
      <w:r>
        <w:rPr>
          <w:rFonts w:hint="default" w:ascii="FreeSerif" w:hAnsi="FreeSerif" w:eastAsia="方正楷体_GBK" w:cs="FreeSerif"/>
          <w:b w:val="0"/>
          <w:snapToGrid/>
          <w:kern w:val="2"/>
          <w:sz w:val="32"/>
          <w:szCs w:val="32"/>
          <w:lang w:val="en-US" w:eastAsia="zh-CN" w:bidi="ar"/>
        </w:rPr>
        <w:t>（市发改委、市市场监管局、市农业农村局、市生态环境局等按职责分工负责）</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楷体_GBK" w:cs="FreeSerif"/>
          <w:b w:val="0"/>
          <w:kern w:val="2"/>
          <w:sz w:val="32"/>
          <w:szCs w:val="32"/>
        </w:rPr>
      </w:pPr>
      <w:r>
        <w:rPr>
          <w:rFonts w:hint="default" w:ascii="FreeSerif" w:hAnsi="FreeSerif" w:eastAsia="方正仿宋_GBK" w:cs="FreeSerif"/>
          <w:snapToGrid/>
          <w:kern w:val="2"/>
          <w:sz w:val="32"/>
          <w:szCs w:val="32"/>
          <w:lang w:val="en-US" w:eastAsia="zh-CN" w:bidi="ar"/>
        </w:rPr>
        <w:t>动态调整耕地土壤环境质量类别。根据土壤环境质量例行监测、农用地重点地块监测、农产品检测、治理修复效果评估等，动态调整土壤环境质量类别，并将清单上传全国土壤环境信息平台。原则上禁止曾用于生产、使用、贮存、回收、处置有毒有害物质的工矿用地复垦为食用农产品耕地。</w:t>
      </w:r>
      <w:r>
        <w:rPr>
          <w:rFonts w:hint="default" w:ascii="FreeSerif" w:hAnsi="FreeSerif" w:eastAsia="方正楷体_GBK" w:cs="FreeSerif"/>
          <w:b w:val="0"/>
          <w:snapToGrid/>
          <w:kern w:val="2"/>
          <w:sz w:val="32"/>
          <w:szCs w:val="32"/>
          <w:lang w:val="en-US" w:eastAsia="zh-CN" w:bidi="ar"/>
        </w:rPr>
        <w:t>（市农业农村局、市生态环境局、市自然资源局等按职责分工负责）</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仿宋_GBK" w:cs="FreeSerif"/>
          <w:b w:val="0"/>
          <w:kern w:val="2"/>
          <w:sz w:val="32"/>
          <w:szCs w:val="32"/>
        </w:rPr>
      </w:pPr>
      <w:r>
        <w:rPr>
          <w:rFonts w:hint="default" w:ascii="FreeSerif" w:hAnsi="FreeSerif" w:eastAsia="方正仿宋_GBK" w:cs="FreeSerif"/>
          <w:b w:val="0"/>
          <w:snapToGrid/>
          <w:kern w:val="2"/>
          <w:sz w:val="32"/>
          <w:szCs w:val="32"/>
          <w:lang w:val="en-US" w:eastAsia="zh-CN" w:bidi="ar"/>
        </w:rPr>
        <w:t>4．加强建设用地土壤环境准入管理。</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楷体_GBK" w:cs="FreeSerif"/>
          <w:b w:val="0"/>
          <w:kern w:val="2"/>
          <w:sz w:val="32"/>
          <w:szCs w:val="32"/>
        </w:rPr>
      </w:pPr>
      <w:r>
        <w:rPr>
          <w:rFonts w:hint="default" w:ascii="FreeSerif" w:hAnsi="FreeSerif" w:eastAsia="方正仿宋_GBK" w:cs="FreeSerif"/>
          <w:snapToGrid/>
          <w:kern w:val="2"/>
          <w:sz w:val="32"/>
          <w:szCs w:val="32"/>
          <w:lang w:val="en-US" w:eastAsia="zh-CN" w:bidi="ar"/>
        </w:rPr>
        <w:t>深入开</w:t>
      </w:r>
      <w:r>
        <w:rPr>
          <w:rFonts w:hint="eastAsia" w:ascii="方正仿宋_GBK" w:hAnsi="方正仿宋_GBK" w:eastAsia="方正仿宋_GBK" w:cs="方正仿宋_GBK"/>
          <w:snapToGrid/>
          <w:kern w:val="2"/>
          <w:sz w:val="32"/>
          <w:szCs w:val="32"/>
          <w:lang w:val="en-US" w:eastAsia="zh-CN" w:bidi="ar"/>
        </w:rPr>
        <w:t>展土壤污染状况调查评估。以用途变更为住宅、公共管理与公共服务（简称“一住两公”）用</w:t>
      </w:r>
      <w:r>
        <w:rPr>
          <w:rFonts w:hint="default" w:ascii="FreeSerif" w:hAnsi="FreeSerif" w:eastAsia="方正仿宋_GBK" w:cs="FreeSerif"/>
          <w:snapToGrid/>
          <w:kern w:val="2"/>
          <w:sz w:val="32"/>
          <w:szCs w:val="32"/>
          <w:lang w:val="en-US" w:eastAsia="zh-CN" w:bidi="ar"/>
        </w:rPr>
        <w:t>地的地块为重点，依法开展土壤污染状况调查和风险评估。优先对重点行业企业用地调查潜在高风险地块中的地块，开展进一步调查和风险评估。鼓励各地对列入年度建设用地供应计划的地块，因地制宜适当提前开展土壤污染状况调查，化解建设用地土壤污染风险管控和修复与土地开发进度之间的矛盾。充分发挥环境大数据辅助监管的作用，对全市注销、撤销排污许可证企业，及时纳入监管视野，防止腾退地块游离于监管之外。</w:t>
      </w:r>
      <w:r>
        <w:rPr>
          <w:rFonts w:hint="default" w:ascii="FreeSerif" w:hAnsi="FreeSerif" w:eastAsia="方正楷体_GBK" w:cs="FreeSerif"/>
          <w:b w:val="0"/>
          <w:snapToGrid/>
          <w:kern w:val="2"/>
          <w:sz w:val="32"/>
          <w:szCs w:val="32"/>
          <w:lang w:val="en-US" w:eastAsia="zh-CN" w:bidi="ar"/>
        </w:rPr>
        <w:t>（市生态环境局、市自然资源局、市工信局等按职责分工负责）</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楷体_GBK" w:cs="FreeSerif"/>
          <w:b w:val="0"/>
          <w:kern w:val="2"/>
          <w:sz w:val="32"/>
          <w:szCs w:val="32"/>
        </w:rPr>
      </w:pPr>
      <w:r>
        <w:rPr>
          <w:rFonts w:hint="default" w:ascii="FreeSerif" w:hAnsi="FreeSerif" w:eastAsia="方正仿宋_GBK" w:cs="FreeSerif"/>
          <w:snapToGrid/>
          <w:kern w:val="2"/>
          <w:sz w:val="32"/>
          <w:szCs w:val="32"/>
          <w:lang w:val="en-US" w:eastAsia="zh-CN" w:bidi="ar"/>
        </w:rPr>
        <w:t>市自然资源部门在土地征收、收回、收购以及转让、改变用途等环节，商生态环境部门依法督促相关单位调查并上报土壤污染状况。土壤污染重点监管单位土壤污染状况调查报告应当作为不动产登记资料送交市政府不动产登记机构，并报市政府生态环境主管部门备案。</w:t>
      </w:r>
      <w:r>
        <w:rPr>
          <w:rFonts w:hint="default" w:ascii="FreeSerif" w:hAnsi="FreeSerif" w:eastAsia="方正楷体_GBK" w:cs="FreeSerif"/>
          <w:b w:val="0"/>
          <w:snapToGrid/>
          <w:kern w:val="2"/>
          <w:sz w:val="32"/>
          <w:szCs w:val="32"/>
          <w:lang w:val="en-US" w:eastAsia="zh-CN" w:bidi="ar"/>
        </w:rPr>
        <w:t>（市自然资源局、市生态环境局等按职责分工负责）</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楷体_GBK" w:cs="FreeSerif"/>
          <w:b w:val="0"/>
          <w:kern w:val="2"/>
          <w:sz w:val="32"/>
          <w:szCs w:val="32"/>
        </w:rPr>
      </w:pPr>
      <w:r>
        <w:rPr>
          <w:rFonts w:hint="default" w:ascii="FreeSerif" w:hAnsi="FreeSerif" w:eastAsia="方正仿宋_GBK" w:cs="FreeSerif"/>
          <w:snapToGrid/>
          <w:kern w:val="2"/>
          <w:sz w:val="32"/>
          <w:szCs w:val="32"/>
          <w:lang w:val="en-US" w:eastAsia="zh-CN" w:bidi="ar"/>
        </w:rPr>
        <w:t>严格污染地块用地准入。列入建设用地土壤污染风险管控和修复名录的地块，不得作</w:t>
      </w:r>
      <w:r>
        <w:rPr>
          <w:rFonts w:hint="eastAsia" w:ascii="方正仿宋_GBK" w:hAnsi="方正仿宋_GBK" w:eastAsia="方正仿宋_GBK" w:cs="方正仿宋_GBK"/>
          <w:snapToGrid/>
          <w:kern w:val="2"/>
          <w:sz w:val="32"/>
          <w:szCs w:val="32"/>
          <w:lang w:val="en-US" w:eastAsia="zh-CN" w:bidi="ar"/>
        </w:rPr>
        <w:t>为“一住两公”用</w:t>
      </w:r>
      <w:r>
        <w:rPr>
          <w:rFonts w:hint="default" w:ascii="FreeSerif" w:hAnsi="FreeSerif" w:eastAsia="方正仿宋_GBK" w:cs="FreeSerif"/>
          <w:snapToGrid/>
          <w:kern w:val="2"/>
          <w:sz w:val="32"/>
          <w:szCs w:val="32"/>
          <w:lang w:val="en-US" w:eastAsia="zh-CN" w:bidi="ar"/>
        </w:rPr>
        <w:t>地。依法应当开展土壤污染状况调查或风险评估而未开展或尚未完成调查评估的地块，以及未达到土壤污染风险评估报告确定的风险管控、修复目标的建设用地地块，不得开工建设与风险管控修复无关的项目。更新公开建设用地土壤污染风险管控和修复名录，市自然资源部门对列入名录的地块，不予作</w:t>
      </w:r>
      <w:r>
        <w:rPr>
          <w:rFonts w:hint="eastAsia" w:ascii="方正仿宋_GBK" w:hAnsi="方正仿宋_GBK" w:eastAsia="方正仿宋_GBK" w:cs="方正仿宋_GBK"/>
          <w:snapToGrid/>
          <w:kern w:val="2"/>
          <w:sz w:val="32"/>
          <w:szCs w:val="32"/>
          <w:lang w:val="en-US" w:eastAsia="zh-CN" w:bidi="ar"/>
        </w:rPr>
        <w:t>为“一住两公”</w:t>
      </w:r>
      <w:r>
        <w:rPr>
          <w:rFonts w:hint="default" w:ascii="FreeSerif" w:hAnsi="FreeSerif" w:eastAsia="方正仿宋_GBK" w:cs="FreeSerif"/>
          <w:snapToGrid/>
          <w:kern w:val="2"/>
          <w:sz w:val="32"/>
          <w:szCs w:val="32"/>
          <w:lang w:val="en-US" w:eastAsia="zh-CN" w:bidi="ar"/>
        </w:rPr>
        <w:t>用地，不予办理土地征收、收回、收购、土地供应以及改变土地用途等手续。合理规划污染地块用途，从严管控农药、化工等行业重度污染地块规划用途，确需开发利用的，鼓励用于拓展生态空间。</w:t>
      </w:r>
      <w:r>
        <w:rPr>
          <w:rFonts w:hint="default" w:ascii="FreeSerif" w:hAnsi="FreeSerif" w:eastAsia="方正楷体_GBK" w:cs="FreeSerif"/>
          <w:b w:val="0"/>
          <w:snapToGrid/>
          <w:kern w:val="2"/>
          <w:sz w:val="32"/>
          <w:szCs w:val="32"/>
          <w:lang w:val="en-US" w:eastAsia="zh-CN" w:bidi="ar"/>
        </w:rPr>
        <w:t>（市自然资源局、市生态环境局、市住建局等按职责分工负责）</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楷体_GBK" w:cs="FreeSerif"/>
          <w:b w:val="0"/>
          <w:kern w:val="2"/>
          <w:sz w:val="32"/>
          <w:szCs w:val="32"/>
        </w:rPr>
      </w:pPr>
      <w:r>
        <w:rPr>
          <w:rFonts w:hint="default" w:ascii="FreeSerif" w:hAnsi="FreeSerif" w:eastAsia="方正仿宋_GBK" w:cs="FreeSerif"/>
          <w:snapToGrid/>
          <w:kern w:val="2"/>
          <w:sz w:val="32"/>
          <w:szCs w:val="32"/>
          <w:lang w:val="en-US" w:eastAsia="zh-CN" w:bidi="ar"/>
        </w:rPr>
        <w:t>推进重点地块风险管控。对暂不开发利用的危险化学品生产企业搬迁改造等行动遗留地块、企业用地调查高风险地块（关闭搬迁），督促土地使用权人制定风险管控方案并落实管理措施。对建设用地污染风险管控和修复名录内地块，督促土地使用权人制定风险管控或修复方案并落实工程措施。建立土壤污染风险管控和修复施工相关信息公开制度，强化修复过程二次污染防控。（</w:t>
      </w:r>
      <w:r>
        <w:rPr>
          <w:rFonts w:hint="default" w:ascii="FreeSerif" w:hAnsi="FreeSerif" w:eastAsia="方正楷体_GBK" w:cs="FreeSerif"/>
          <w:b w:val="0"/>
          <w:snapToGrid/>
          <w:kern w:val="2"/>
          <w:sz w:val="32"/>
          <w:szCs w:val="32"/>
          <w:lang w:val="en-US" w:eastAsia="zh-CN" w:bidi="ar"/>
        </w:rPr>
        <w:t>市生态环境局、市自然资源局等按职责分工负责</w:t>
      </w:r>
      <w:r>
        <w:rPr>
          <w:rFonts w:hint="eastAsia" w:ascii="FreeSerif" w:hAnsi="FreeSerif" w:eastAsia="方正楷体_GBK" w:cs="FreeSerif"/>
          <w:b w:val="0"/>
          <w:snapToGrid/>
          <w:kern w:val="2"/>
          <w:sz w:val="32"/>
          <w:szCs w:val="32"/>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楷体_GBK" w:cs="FreeSerif"/>
          <w:b w:val="0"/>
          <w:kern w:val="2"/>
          <w:sz w:val="32"/>
          <w:szCs w:val="32"/>
        </w:rPr>
      </w:pPr>
      <w:r>
        <w:rPr>
          <w:rFonts w:hint="default" w:ascii="FreeSerif" w:hAnsi="FreeSerif" w:eastAsia="方正仿宋_GBK" w:cs="FreeSerif"/>
          <w:snapToGrid/>
          <w:kern w:val="2"/>
          <w:sz w:val="32"/>
          <w:szCs w:val="32"/>
          <w:lang w:val="en-US" w:eastAsia="zh-CN" w:bidi="ar"/>
        </w:rPr>
        <w:t>优化土地开发和使用时序。涉及成片污染地块分期分批开发的，以及污染地块周边土地开发的，要优化开发时序，防止污染土壤及其后续风险管控和修复影响周边拟入住敏感人群，并防止引发负面舆情。原则上，居住、学校、养老机构等用地应在毗邻地块土壤污染风险管控和修复完成后再投入使用。</w:t>
      </w:r>
      <w:r>
        <w:rPr>
          <w:rFonts w:hint="default" w:ascii="FreeSerif" w:hAnsi="FreeSerif" w:eastAsia="方正楷体_GBK" w:cs="FreeSerif"/>
          <w:b w:val="0"/>
          <w:snapToGrid/>
          <w:kern w:val="2"/>
          <w:sz w:val="32"/>
          <w:szCs w:val="32"/>
          <w:lang w:val="en-US" w:eastAsia="zh-CN" w:bidi="ar"/>
        </w:rPr>
        <w:t>（市自然资源局、市生态环境局、市住建局等按职责分工负责）</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楷体_GBK" w:cs="FreeSerif"/>
          <w:b w:val="0"/>
          <w:kern w:val="2"/>
          <w:sz w:val="32"/>
          <w:szCs w:val="32"/>
        </w:rPr>
      </w:pPr>
      <w:r>
        <w:rPr>
          <w:rFonts w:hint="default" w:ascii="FreeSerif" w:hAnsi="FreeSerif" w:eastAsia="方正仿宋_GBK" w:cs="FreeSerif"/>
          <w:snapToGrid/>
          <w:kern w:val="2"/>
          <w:sz w:val="32"/>
          <w:szCs w:val="32"/>
          <w:lang w:val="en-US" w:eastAsia="zh-CN" w:bidi="ar"/>
        </w:rPr>
        <w:t>强化部门信息共享和联动监管。建立完善污染地块信息平台，生态环境部门、自然资源部门及时共享疑似污染地块、污染地块有关信息、用途变更</w:t>
      </w:r>
      <w:r>
        <w:rPr>
          <w:rFonts w:hint="eastAsia" w:ascii="方正仿宋_GBK" w:hAnsi="方正仿宋_GBK" w:eastAsia="方正仿宋_GBK" w:cs="方正仿宋_GBK"/>
          <w:snapToGrid/>
          <w:kern w:val="2"/>
          <w:sz w:val="32"/>
          <w:szCs w:val="32"/>
          <w:lang w:val="en-US" w:eastAsia="zh-CN" w:bidi="ar"/>
        </w:rPr>
        <w:t>为“一住两公”的地</w:t>
      </w:r>
      <w:r>
        <w:rPr>
          <w:rFonts w:hint="default" w:ascii="FreeSerif" w:hAnsi="FreeSerif" w:eastAsia="方正仿宋_GBK" w:cs="FreeSerif"/>
          <w:snapToGrid/>
          <w:kern w:val="2"/>
          <w:sz w:val="32"/>
          <w:szCs w:val="32"/>
          <w:lang w:val="en-US" w:eastAsia="zh-CN" w:bidi="ar"/>
        </w:rPr>
        <w:t>块信息。土壤污染重点监管单位生产经营用地用途变更或土地使用权收回、转让信息，以及涉及疑似污染地块、污染地块国土空间规划等相关信息。将污染地块空间信息叠加至国土空间规</w:t>
      </w:r>
      <w:r>
        <w:rPr>
          <w:rFonts w:hint="eastAsia" w:ascii="方正仿宋_GBK" w:hAnsi="方正仿宋_GBK" w:eastAsia="方正仿宋_GBK" w:cs="方正仿宋_GBK"/>
          <w:snapToGrid/>
          <w:kern w:val="2"/>
          <w:sz w:val="32"/>
          <w:szCs w:val="32"/>
          <w:lang w:val="en-US" w:eastAsia="zh-CN" w:bidi="ar"/>
        </w:rPr>
        <w:t>划“一张图”</w:t>
      </w:r>
      <w:r>
        <w:rPr>
          <w:rFonts w:hint="default" w:ascii="FreeSerif" w:hAnsi="FreeSerif" w:eastAsia="方正仿宋_GBK" w:cs="FreeSerif"/>
          <w:snapToGrid/>
          <w:kern w:val="2"/>
          <w:sz w:val="32"/>
          <w:szCs w:val="32"/>
          <w:lang w:val="en-US" w:eastAsia="zh-CN" w:bidi="ar"/>
        </w:rPr>
        <w:t>。推动利用卫星遥感、无人机等手段开展非现场检查。制定建设用地土壤环境联动监管具体办法或措施。</w:t>
      </w:r>
      <w:r>
        <w:rPr>
          <w:rFonts w:hint="default" w:ascii="FreeSerif" w:hAnsi="FreeSerif" w:eastAsia="方正楷体_GBK" w:cs="FreeSerif"/>
          <w:b w:val="0"/>
          <w:snapToGrid/>
          <w:kern w:val="2"/>
          <w:sz w:val="32"/>
          <w:szCs w:val="32"/>
          <w:lang w:val="en-US" w:eastAsia="zh-CN" w:bidi="ar"/>
        </w:rPr>
        <w:t>（市自然资源局、市生态环境局按职责分工负责）</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楷体_GBK" w:cs="FreeSerif"/>
          <w:b w:val="0"/>
          <w:kern w:val="2"/>
          <w:sz w:val="32"/>
          <w:szCs w:val="32"/>
        </w:rPr>
      </w:pPr>
      <w:r>
        <w:rPr>
          <w:rFonts w:hint="default" w:ascii="FreeSerif" w:hAnsi="FreeSerif" w:eastAsia="方正仿宋_GBK" w:cs="FreeSerif"/>
          <w:snapToGrid/>
          <w:kern w:val="2"/>
          <w:sz w:val="32"/>
          <w:szCs w:val="32"/>
          <w:lang w:val="en-US" w:eastAsia="zh-CN" w:bidi="ar"/>
        </w:rPr>
        <w:t>加强信息公开。2022年起，在土地收储、出让以及房地产出售等环节，土地使用权人应公开地块原土壤污染状况及污染治理和修复情况。加强房地产出售环节土壤污染防治公示情况检查。</w:t>
      </w:r>
      <w:r>
        <w:rPr>
          <w:rFonts w:hint="default" w:ascii="FreeSerif" w:hAnsi="FreeSerif" w:eastAsia="方正楷体_GBK" w:cs="FreeSerif"/>
          <w:b w:val="0"/>
          <w:snapToGrid/>
          <w:kern w:val="2"/>
          <w:sz w:val="32"/>
          <w:szCs w:val="32"/>
          <w:lang w:val="en-US" w:eastAsia="zh-CN" w:bidi="ar"/>
        </w:rPr>
        <w:t>（市自然资源局、市住建局、市生态环境局等按职责分工负责）</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楷体_GBK" w:cs="FreeSerif"/>
          <w:b w:val="0"/>
          <w:kern w:val="2"/>
          <w:sz w:val="32"/>
          <w:szCs w:val="32"/>
        </w:rPr>
      </w:pPr>
      <w:r>
        <w:rPr>
          <w:rFonts w:hint="default" w:ascii="FreeSerif" w:hAnsi="FreeSerif" w:eastAsia="方正仿宋_GBK" w:cs="FreeSerif"/>
          <w:snapToGrid/>
          <w:kern w:val="2"/>
          <w:sz w:val="32"/>
          <w:szCs w:val="32"/>
          <w:lang w:val="en-US" w:eastAsia="zh-CN" w:bidi="ar"/>
        </w:rPr>
        <w:t>强化土壤污染风险管控、修复项目施工过程，以及暂不开发利用地块风险管控的信息公开。</w:t>
      </w:r>
      <w:r>
        <w:rPr>
          <w:rFonts w:hint="default" w:ascii="FreeSerif" w:hAnsi="FreeSerif" w:eastAsia="方正楷体_GBK" w:cs="FreeSerif"/>
          <w:b w:val="0"/>
          <w:snapToGrid/>
          <w:kern w:val="2"/>
          <w:sz w:val="32"/>
          <w:szCs w:val="32"/>
          <w:lang w:val="en-US" w:eastAsia="zh-CN" w:bidi="ar"/>
        </w:rPr>
        <w:t>（市生态环境局负责）</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楷体_GBK" w:cs="FreeSerif"/>
          <w:b w:val="0"/>
          <w:kern w:val="2"/>
          <w:sz w:val="32"/>
          <w:szCs w:val="32"/>
        </w:rPr>
      </w:pPr>
      <w:r>
        <w:rPr>
          <w:rFonts w:hint="default" w:ascii="FreeSerif" w:hAnsi="FreeSerif" w:eastAsia="方正仿宋_GBK" w:cs="FreeSerif"/>
          <w:snapToGrid/>
          <w:kern w:val="2"/>
          <w:sz w:val="32"/>
          <w:szCs w:val="32"/>
          <w:lang w:val="en-US" w:eastAsia="zh-CN" w:bidi="ar"/>
        </w:rPr>
        <w:t>强化风险管控和修复工程监管。重点防止转运污染土壤非法处置，以及农药类等污染地块风险管控和修复过程中产生的异味等二次污染，针对采取风险管控措施的地块，强化后期管理。严格效果评估，确保实现土壤污染风险管控与修复目标。</w:t>
      </w:r>
      <w:r>
        <w:rPr>
          <w:rFonts w:hint="default" w:ascii="FreeSerif" w:hAnsi="FreeSerif" w:eastAsia="方正楷体_GBK" w:cs="FreeSerif"/>
          <w:b w:val="0"/>
          <w:snapToGrid/>
          <w:kern w:val="2"/>
          <w:sz w:val="32"/>
          <w:szCs w:val="32"/>
          <w:lang w:val="en-US" w:eastAsia="zh-CN" w:bidi="ar"/>
        </w:rPr>
        <w:t>（市生态环境局负责）</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楷体_GBK" w:cs="FreeSerif"/>
          <w:b w:val="0"/>
          <w:kern w:val="2"/>
          <w:sz w:val="32"/>
          <w:szCs w:val="32"/>
        </w:rPr>
      </w:pPr>
      <w:r>
        <w:rPr>
          <w:rFonts w:hint="default" w:ascii="FreeSerif" w:hAnsi="FreeSerif" w:eastAsia="方正仿宋_GBK" w:cs="FreeSerif"/>
          <w:snapToGrid/>
          <w:kern w:val="2"/>
          <w:sz w:val="32"/>
          <w:szCs w:val="32"/>
          <w:lang w:val="en-US" w:eastAsia="zh-CN" w:bidi="ar"/>
        </w:rPr>
        <w:t>加强信用体系建设。强化信用管理，依法将从事土壤污染状况调查评估、风险管控、修复、风险管控效果评估、修复效果评估、后期管理等活动的单位和个人的执业情况、违法信息记入信用记录，并纳入全国信用信息共享平台和国家企业信用信息公示系统向社会公布。鼓励选择从业水平高、信用好的单位，推动从业单位提高自律意识和能力水平。</w:t>
      </w:r>
      <w:r>
        <w:rPr>
          <w:rFonts w:hint="default" w:ascii="FreeSerif" w:hAnsi="FreeSerif" w:eastAsia="方正楷体_GBK" w:cs="FreeSerif"/>
          <w:b w:val="0"/>
          <w:snapToGrid/>
          <w:kern w:val="2"/>
          <w:sz w:val="32"/>
          <w:szCs w:val="32"/>
          <w:lang w:val="en-US" w:eastAsia="zh-CN" w:bidi="ar"/>
        </w:rPr>
        <w:t>（市生态环境局、市政数局、市市场监管局等按职责分工负责）</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282"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widowControl w:val="0"/>
              <w:suppressLineNumbers w:val="0"/>
              <w:autoSpaceDE w:val="0"/>
              <w:autoSpaceDN/>
              <w:adjustRightInd w:val="0"/>
              <w:snapToGrid w:val="0"/>
              <w:spacing w:before="0" w:beforeAutospacing="0" w:after="0" w:afterAutospacing="0" w:line="0" w:lineRule="atLeast"/>
              <w:ind w:left="0" w:leftChars="0" w:right="0" w:firstLine="0" w:firstLineChars="0"/>
              <w:jc w:val="center"/>
              <w:rPr>
                <w:rFonts w:hint="default" w:ascii="FreeSerif" w:hAnsi="FreeSerif" w:eastAsia="仿宋" w:cs="FreeSerif"/>
                <w:b/>
                <w:spacing w:val="0"/>
                <w:kern w:val="2"/>
                <w:sz w:val="24"/>
                <w:szCs w:val="24"/>
              </w:rPr>
            </w:pPr>
            <w:r>
              <w:rPr>
                <w:rFonts w:hint="default" w:ascii="FreeSerif" w:hAnsi="FreeSerif" w:eastAsia="方正黑体_GBK" w:cs="FreeSerif"/>
                <w:b w:val="0"/>
                <w:snapToGrid/>
                <w:spacing w:val="0"/>
                <w:kern w:val="2"/>
                <w:sz w:val="24"/>
                <w:szCs w:val="24"/>
                <w:lang w:val="en-US" w:eastAsia="zh-CN" w:bidi="ar"/>
              </w:rPr>
              <w:t>专栏1  土壤污染风险防控重点工程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9282" w:type="dxa"/>
            <w:tcBorders>
              <w:top w:val="single" w:color="auto" w:sz="4" w:space="0"/>
              <w:left w:val="single" w:color="auto" w:sz="4" w:space="0"/>
              <w:bottom w:val="single" w:color="auto" w:sz="4" w:space="0"/>
              <w:right w:val="single" w:color="auto" w:sz="4" w:space="0"/>
            </w:tcBorders>
            <w:noWrap w:val="0"/>
            <w:vAlign w:val="top"/>
          </w:tcPr>
          <w:p>
            <w:pPr>
              <w:pStyle w:val="10"/>
              <w:keepNext w:val="0"/>
              <w:keepLines w:val="0"/>
              <w:widowControl w:val="0"/>
              <w:suppressLineNumbers w:val="0"/>
              <w:overflowPunct w:val="0"/>
              <w:autoSpaceDE w:val="0"/>
              <w:autoSpaceDN/>
              <w:adjustRightInd w:val="0"/>
              <w:snapToGrid w:val="0"/>
              <w:spacing w:before="0" w:beforeAutospacing="0" w:after="0" w:afterAutospacing="0" w:line="0" w:lineRule="atLeast"/>
              <w:ind w:left="0" w:leftChars="0" w:right="0" w:firstLine="420" w:firstLineChars="200"/>
              <w:jc w:val="both"/>
              <w:rPr>
                <w:rFonts w:hint="default" w:ascii="FreeSerif" w:hAnsi="FreeSerif" w:eastAsia="方正仿宋_GBK" w:cs="FreeSerif"/>
                <w:kern w:val="2"/>
                <w:sz w:val="21"/>
                <w:szCs w:val="21"/>
                <w:highlight w:val="cyan"/>
              </w:rPr>
            </w:pPr>
            <w:r>
              <w:rPr>
                <w:rFonts w:hint="default" w:ascii="FreeSerif" w:hAnsi="FreeSerif" w:eastAsia="CESI楷体-GB13000" w:cs="FreeSerif"/>
                <w:b w:val="0"/>
                <w:snapToGrid/>
                <w:spacing w:val="0"/>
                <w:kern w:val="2"/>
                <w:sz w:val="21"/>
                <w:szCs w:val="21"/>
                <w:lang w:val="en-US" w:eastAsia="zh-CN" w:bidi="ar"/>
              </w:rPr>
              <w:t>土壤污染源头管控项目。</w:t>
            </w:r>
            <w:r>
              <w:rPr>
                <w:rFonts w:hint="default" w:ascii="FreeSerif" w:hAnsi="FreeSerif" w:eastAsia="方正仿宋_GBK" w:cs="FreeSerif"/>
                <w:snapToGrid/>
                <w:spacing w:val="0"/>
                <w:kern w:val="2"/>
                <w:sz w:val="21"/>
                <w:szCs w:val="21"/>
                <w:lang w:val="en-US" w:eastAsia="zh-CN" w:bidi="ar"/>
              </w:rPr>
              <w:t>以涉镉等重金属行业企业（在产）为主，开展防渗漏改造工程。</w:t>
            </w:r>
          </w:p>
          <w:p>
            <w:pPr>
              <w:keepNext w:val="0"/>
              <w:keepLines w:val="0"/>
              <w:widowControl w:val="0"/>
              <w:suppressLineNumbers w:val="0"/>
              <w:overflowPunct w:val="0"/>
              <w:autoSpaceDE w:val="0"/>
              <w:autoSpaceDN/>
              <w:adjustRightInd w:val="0"/>
              <w:snapToGrid w:val="0"/>
              <w:spacing w:before="0" w:beforeAutospacing="0" w:after="0" w:afterAutospacing="0" w:line="0" w:lineRule="atLeast"/>
              <w:ind w:left="0" w:leftChars="0" w:right="0" w:firstLine="420" w:firstLineChars="200"/>
              <w:jc w:val="both"/>
              <w:rPr>
                <w:rFonts w:hint="default" w:ascii="FreeSerif" w:hAnsi="FreeSerif" w:eastAsia="方正仿宋_GBK" w:cs="FreeSerif"/>
                <w:spacing w:val="0"/>
                <w:kern w:val="2"/>
                <w:sz w:val="21"/>
                <w:szCs w:val="21"/>
              </w:rPr>
            </w:pPr>
            <w:r>
              <w:rPr>
                <w:rFonts w:hint="default" w:ascii="FreeSerif" w:hAnsi="FreeSerif" w:eastAsia="CESI楷体-GB13000" w:cs="FreeSerif"/>
                <w:b w:val="0"/>
                <w:snapToGrid/>
                <w:spacing w:val="0"/>
                <w:kern w:val="2"/>
                <w:sz w:val="21"/>
                <w:szCs w:val="21"/>
                <w:lang w:val="en-US" w:eastAsia="zh-CN" w:bidi="ar"/>
              </w:rPr>
              <w:t>土壤污染风险管控和修复项目。</w:t>
            </w:r>
            <w:r>
              <w:rPr>
                <w:rFonts w:hint="default" w:ascii="FreeSerif" w:hAnsi="FreeSerif" w:eastAsia="方正仿宋_GBK" w:cs="FreeSerif"/>
                <w:snapToGrid/>
                <w:spacing w:val="0"/>
                <w:kern w:val="2"/>
                <w:sz w:val="21"/>
                <w:szCs w:val="21"/>
                <w:lang w:val="en-US" w:eastAsia="zh-CN" w:bidi="ar"/>
              </w:rPr>
              <w:t>经调查评估确定的污染地块，实施土壤污染风险管控和修复项目。</w:t>
            </w:r>
          </w:p>
          <w:p>
            <w:pPr>
              <w:pStyle w:val="10"/>
              <w:keepNext w:val="0"/>
              <w:keepLines w:val="0"/>
              <w:widowControl w:val="0"/>
              <w:suppressLineNumbers w:val="0"/>
              <w:overflowPunct w:val="0"/>
              <w:autoSpaceDE w:val="0"/>
              <w:autoSpaceDN/>
              <w:adjustRightInd w:val="0"/>
              <w:snapToGrid w:val="0"/>
              <w:spacing w:before="0" w:beforeAutospacing="0" w:after="0" w:afterAutospacing="0" w:line="0" w:lineRule="atLeast"/>
              <w:ind w:left="0" w:leftChars="0" w:right="0" w:firstLine="420" w:firstLineChars="200"/>
              <w:jc w:val="both"/>
              <w:rPr>
                <w:rFonts w:hint="default" w:ascii="FreeSerif" w:hAnsi="FreeSerif" w:eastAsia="方正仿宋_GBK" w:cs="FreeSerif"/>
                <w:spacing w:val="0"/>
                <w:kern w:val="0"/>
                <w:sz w:val="21"/>
                <w:szCs w:val="21"/>
              </w:rPr>
            </w:pPr>
            <w:r>
              <w:rPr>
                <w:rFonts w:hint="default" w:ascii="FreeSerif" w:hAnsi="FreeSerif" w:eastAsia="CESI楷体-GB13000" w:cs="FreeSerif"/>
                <w:b w:val="0"/>
                <w:snapToGrid/>
                <w:spacing w:val="0"/>
                <w:kern w:val="2"/>
                <w:sz w:val="21"/>
                <w:szCs w:val="21"/>
                <w:lang w:val="en-US" w:eastAsia="zh-CN" w:bidi="ar"/>
              </w:rPr>
              <w:t>农用地安全利用项目。</w:t>
            </w:r>
            <w:r>
              <w:rPr>
                <w:rFonts w:hint="default" w:ascii="FreeSerif" w:hAnsi="FreeSerif" w:eastAsia="方正仿宋_GBK" w:cs="FreeSerif"/>
                <w:snapToGrid/>
                <w:spacing w:val="0"/>
                <w:kern w:val="2"/>
                <w:sz w:val="21"/>
                <w:szCs w:val="21"/>
                <w:lang w:val="en-US" w:eastAsia="zh-CN" w:bidi="ar"/>
              </w:rPr>
              <w:t>提升耕地土壤环境质量，在白城市洮北区实施受污染耕地安全利用项目。</w:t>
            </w:r>
          </w:p>
          <w:p>
            <w:pPr>
              <w:keepNext w:val="0"/>
              <w:keepLines w:val="0"/>
              <w:widowControl w:val="0"/>
              <w:suppressLineNumbers w:val="0"/>
              <w:overflowPunct w:val="0"/>
              <w:autoSpaceDE w:val="0"/>
              <w:autoSpaceDN/>
              <w:adjustRightInd w:val="0"/>
              <w:snapToGrid w:val="0"/>
              <w:spacing w:before="0" w:beforeAutospacing="0" w:after="0" w:afterAutospacing="0" w:line="0" w:lineRule="atLeast"/>
              <w:ind w:left="0" w:right="0" w:firstLine="420" w:firstLineChars="200"/>
              <w:jc w:val="both"/>
              <w:rPr>
                <w:rFonts w:hint="default" w:ascii="FreeSerif" w:hAnsi="FreeSerif" w:eastAsia="仿宋" w:cs="FreeSerif"/>
                <w:spacing w:val="0"/>
                <w:kern w:val="0"/>
                <w:sz w:val="24"/>
                <w:szCs w:val="24"/>
              </w:rPr>
            </w:pPr>
            <w:r>
              <w:rPr>
                <w:rFonts w:hint="default" w:ascii="FreeSerif" w:hAnsi="FreeSerif" w:eastAsia="CESI楷体-GB13000" w:cs="FreeSerif"/>
                <w:snapToGrid/>
                <w:kern w:val="2"/>
                <w:sz w:val="21"/>
                <w:szCs w:val="21"/>
                <w:lang w:val="en-US" w:eastAsia="zh-CN" w:bidi="ar"/>
              </w:rPr>
              <w:t>土壤污染状况调查和风险评估项目。</w:t>
            </w:r>
            <w:r>
              <w:rPr>
                <w:rFonts w:hint="default" w:ascii="FreeSerif" w:hAnsi="FreeSerif" w:eastAsia="方正仿宋_GBK" w:cs="FreeSerif"/>
                <w:snapToGrid/>
                <w:kern w:val="2"/>
                <w:sz w:val="21"/>
                <w:szCs w:val="21"/>
                <w:lang w:val="en-US" w:eastAsia="zh-CN" w:bidi="ar"/>
              </w:rPr>
              <w:t>以用途变更“一住两公”地块为主，推进一批土壤污染状况调查评估项目。</w:t>
            </w:r>
          </w:p>
        </w:tc>
      </w:tr>
    </w:tbl>
    <w:p>
      <w:pPr>
        <w:pStyle w:val="4"/>
        <w:keepNext w:val="0"/>
        <w:keepLines w:val="0"/>
        <w:widowControl/>
        <w:suppressLineNumbers w:val="0"/>
        <w:autoSpaceDE w:val="0"/>
        <w:autoSpaceDN/>
        <w:spacing w:line="578" w:lineRule="exact"/>
        <w:ind w:left="0" w:leftChars="0" w:firstLine="643"/>
        <w:jc w:val="both"/>
        <w:rPr>
          <w:rFonts w:hint="default" w:ascii="FreeSerif" w:hAnsi="FreeSerif" w:eastAsia="仿宋" w:cs="FreeSerif"/>
          <w:kern w:val="2"/>
          <w:sz w:val="32"/>
          <w:szCs w:val="32"/>
        </w:rPr>
      </w:pPr>
      <w:bookmarkStart w:id="10" w:name="_Toc453013761"/>
      <w:r>
        <w:rPr>
          <w:rFonts w:hint="default" w:ascii="FreeSerif" w:hAnsi="FreeSerif" w:eastAsia="方正楷体_GBK" w:cs="FreeSerif"/>
          <w:b w:val="0"/>
          <w:kern w:val="0"/>
          <w:sz w:val="32"/>
          <w:szCs w:val="32"/>
        </w:rPr>
        <w:t>（二）加强地下水污染防治</w:t>
      </w:r>
      <w:bookmarkEnd w:id="10"/>
      <w:r>
        <w:rPr>
          <w:rFonts w:hint="default" w:ascii="FreeSerif" w:hAnsi="FreeSerif" w:eastAsia="方正楷体_GBK" w:cs="FreeSerif"/>
          <w:b w:val="0"/>
          <w:kern w:val="0"/>
          <w:sz w:val="32"/>
          <w:szCs w:val="32"/>
          <w:lang w:eastAsia="zh-CN"/>
        </w:rPr>
        <w:t>。</w:t>
      </w:r>
      <w:r>
        <w:rPr>
          <w:rFonts w:hint="default" w:ascii="FreeSerif" w:hAnsi="FreeSerif" w:eastAsia="方正仿宋_GBK" w:cs="FreeSerif"/>
          <w:b w:val="0"/>
          <w:bCs w:val="0"/>
          <w:snapToGrid/>
          <w:kern w:val="2"/>
          <w:sz w:val="32"/>
          <w:szCs w:val="32"/>
          <w:lang w:val="en-US" w:eastAsia="zh-CN" w:bidi="ar"/>
        </w:rPr>
        <w:t>以保护和改善地下水环境质量为核心，重点抓</w:t>
      </w:r>
      <w:r>
        <w:rPr>
          <w:rFonts w:hint="eastAsia" w:ascii="方正仿宋_GBK" w:hAnsi="方正仿宋_GBK" w:eastAsia="方正仿宋_GBK" w:cs="方正仿宋_GBK"/>
          <w:b w:val="0"/>
          <w:bCs w:val="0"/>
          <w:snapToGrid/>
          <w:kern w:val="2"/>
          <w:sz w:val="32"/>
          <w:szCs w:val="32"/>
          <w:lang w:val="en-US" w:eastAsia="zh-CN" w:bidi="ar"/>
        </w:rPr>
        <w:t>好“摸清家底、‘双源’</w:t>
      </w:r>
      <w:r>
        <w:rPr>
          <w:rFonts w:hint="default" w:ascii="FreeSerif" w:hAnsi="FreeSerif" w:eastAsia="方正仿宋_GBK" w:cs="FreeSerif"/>
          <w:b w:val="0"/>
          <w:bCs w:val="0"/>
          <w:snapToGrid/>
          <w:kern w:val="2"/>
          <w:sz w:val="32"/>
          <w:szCs w:val="32"/>
          <w:lang w:val="en-US" w:eastAsia="zh-CN" w:bidi="ar"/>
        </w:rPr>
        <w:t>监管、协同防治、健全体</w:t>
      </w:r>
      <w:r>
        <w:rPr>
          <w:rFonts w:hint="eastAsia" w:ascii="方正仿宋_GBK" w:hAnsi="方正仿宋_GBK" w:eastAsia="方正仿宋_GBK" w:cs="方正仿宋_GBK"/>
          <w:b w:val="0"/>
          <w:bCs w:val="0"/>
          <w:snapToGrid/>
          <w:kern w:val="2"/>
          <w:sz w:val="32"/>
          <w:szCs w:val="32"/>
          <w:lang w:val="en-US" w:eastAsia="zh-CN" w:bidi="ar"/>
        </w:rPr>
        <w:t>系”</w:t>
      </w:r>
      <w:r>
        <w:rPr>
          <w:rFonts w:hint="default" w:ascii="FreeSerif" w:hAnsi="FreeSerif" w:eastAsia="方正仿宋_GBK" w:cs="FreeSerif"/>
          <w:b w:val="0"/>
          <w:bCs w:val="0"/>
          <w:snapToGrid/>
          <w:kern w:val="2"/>
          <w:sz w:val="32"/>
          <w:szCs w:val="32"/>
          <w:lang w:val="en-US" w:eastAsia="zh-CN" w:bidi="ar"/>
        </w:rPr>
        <w:t>，</w:t>
      </w:r>
      <w:r>
        <w:rPr>
          <w:rFonts w:hint="default" w:ascii="FreeSerif" w:hAnsi="FreeSerif" w:eastAsia="方正仿宋_GBK" w:cs="FreeSerif"/>
          <w:b w:val="0"/>
          <w:bCs w:val="0"/>
          <w:snapToGrid/>
          <w:spacing w:val="0"/>
          <w:kern w:val="2"/>
          <w:sz w:val="32"/>
          <w:szCs w:val="32"/>
          <w:lang w:val="en-US" w:eastAsia="zh-CN" w:bidi="ar"/>
        </w:rPr>
        <w:t>推进地下水环境状况调查评估和污染源风险管控</w:t>
      </w:r>
      <w:r>
        <w:rPr>
          <w:rFonts w:hint="default" w:ascii="FreeSerif" w:hAnsi="FreeSerif" w:eastAsia="方正仿宋_GBK" w:cs="FreeSerif"/>
          <w:b w:val="0"/>
          <w:bCs w:val="0"/>
          <w:snapToGrid/>
          <w:kern w:val="2"/>
          <w:sz w:val="32"/>
          <w:szCs w:val="32"/>
          <w:lang w:val="en-US" w:eastAsia="zh-CN" w:bidi="ar"/>
        </w:rPr>
        <w:t>。强化饮用水源地保护，保障地下水型饮用水水源环境安全。</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仿宋_GBK" w:cs="FreeSerif"/>
          <w:b w:val="0"/>
          <w:kern w:val="2"/>
          <w:sz w:val="32"/>
          <w:szCs w:val="32"/>
        </w:rPr>
      </w:pPr>
      <w:r>
        <w:rPr>
          <w:rFonts w:hint="default" w:ascii="FreeSerif" w:hAnsi="FreeSerif" w:eastAsia="方正仿宋_GBK" w:cs="FreeSerif"/>
          <w:b w:val="0"/>
          <w:snapToGrid/>
          <w:kern w:val="2"/>
          <w:sz w:val="32"/>
          <w:szCs w:val="32"/>
          <w:lang w:val="en-US" w:eastAsia="zh-CN" w:bidi="ar"/>
        </w:rPr>
        <w:t>1．健全地下水污染防治管理体系。</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楷体_GBK" w:cs="FreeSerif"/>
          <w:b w:val="0"/>
          <w:kern w:val="2"/>
          <w:sz w:val="32"/>
          <w:szCs w:val="32"/>
        </w:rPr>
      </w:pPr>
      <w:r>
        <w:rPr>
          <w:rFonts w:hint="default" w:ascii="FreeSerif" w:hAnsi="FreeSerif" w:eastAsia="方正仿宋_GBK" w:cs="FreeSerif"/>
          <w:snapToGrid/>
          <w:kern w:val="2"/>
          <w:sz w:val="32"/>
          <w:szCs w:val="32"/>
          <w:lang w:val="en-US" w:eastAsia="zh-CN" w:bidi="ar"/>
        </w:rPr>
        <w:t>制定地下水环境质量达标方案。排查地下水国考点位附近污染源分布情况、地质背景值情况，对超标点位和与上年相比监测变化幅度大的点位，逐一排查原因。水质下降的、非地质背景导致未达到水质目标要求的点位，因地制宜制定地下水环境质量达标或保持方案，明确防治措施及完成时限，防止地下水污染恶化。</w:t>
      </w:r>
      <w:r>
        <w:rPr>
          <w:rFonts w:hint="default" w:ascii="FreeSerif" w:hAnsi="FreeSerif" w:eastAsia="方正楷体_GBK" w:cs="FreeSerif"/>
          <w:b w:val="0"/>
          <w:snapToGrid/>
          <w:kern w:val="2"/>
          <w:sz w:val="32"/>
          <w:szCs w:val="32"/>
          <w:lang w:val="en-US" w:eastAsia="zh-CN" w:bidi="ar"/>
        </w:rPr>
        <w:t>（市生态环境局、市自然资源局等按职责分工负责）</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楷体_GBK" w:cs="FreeSerif"/>
          <w:b w:val="0"/>
          <w:kern w:val="2"/>
          <w:sz w:val="32"/>
          <w:szCs w:val="32"/>
        </w:rPr>
      </w:pPr>
      <w:r>
        <w:rPr>
          <w:rFonts w:hint="default" w:ascii="FreeSerif" w:hAnsi="FreeSerif" w:eastAsia="方正仿宋_GBK" w:cs="FreeSerif"/>
          <w:snapToGrid/>
          <w:kern w:val="2"/>
          <w:sz w:val="32"/>
          <w:szCs w:val="32"/>
          <w:lang w:val="en-US" w:eastAsia="zh-CN" w:bidi="ar"/>
        </w:rPr>
        <w:t>推动地下水污染防治分区管理。开展地下水污染防治重点区划定，实施地下水环境分区管理、分级防治，明确环境准入、隐患排查、风险管控、修复等差别化环境管理要求。</w:t>
      </w:r>
      <w:r>
        <w:rPr>
          <w:rFonts w:hint="default" w:ascii="FreeSerif" w:hAnsi="FreeSerif" w:eastAsia="方正楷体_GBK" w:cs="FreeSerif"/>
          <w:b w:val="0"/>
          <w:snapToGrid/>
          <w:kern w:val="2"/>
          <w:sz w:val="32"/>
          <w:szCs w:val="32"/>
          <w:lang w:val="en-US" w:eastAsia="zh-CN" w:bidi="ar"/>
        </w:rPr>
        <w:t>（市生态环境局、市自然资源局、市发改委等按职责分工负责）</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楷体_GBK" w:cs="FreeSerif"/>
          <w:b w:val="0"/>
          <w:kern w:val="2"/>
          <w:sz w:val="32"/>
          <w:szCs w:val="32"/>
        </w:rPr>
      </w:pPr>
      <w:r>
        <w:rPr>
          <w:rFonts w:hint="default" w:ascii="FreeSerif" w:hAnsi="FreeSerif" w:eastAsia="方正仿宋_GBK" w:cs="FreeSerif"/>
          <w:snapToGrid/>
          <w:kern w:val="2"/>
          <w:sz w:val="32"/>
          <w:szCs w:val="32"/>
          <w:lang w:val="en-US" w:eastAsia="zh-CN" w:bidi="ar"/>
        </w:rPr>
        <w:t>建立地下水污染防治重点排污单位名录。研究建立地下水污染防治重点排污单位名录，推动纳入排污许可管理，加强防渗、地下水环境监测、执法检查。</w:t>
      </w:r>
      <w:r>
        <w:rPr>
          <w:rFonts w:hint="default" w:ascii="FreeSerif" w:hAnsi="FreeSerif" w:eastAsia="方正楷体_GBK" w:cs="FreeSerif"/>
          <w:b w:val="0"/>
          <w:snapToGrid/>
          <w:kern w:val="2"/>
          <w:sz w:val="32"/>
          <w:szCs w:val="32"/>
          <w:lang w:val="en-US" w:eastAsia="zh-CN" w:bidi="ar"/>
        </w:rPr>
        <w:t>（市生态环境局负责）</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楷体_GBK" w:cs="FreeSerif"/>
          <w:b w:val="0"/>
          <w:kern w:val="2"/>
          <w:sz w:val="32"/>
          <w:szCs w:val="32"/>
        </w:rPr>
      </w:pPr>
      <w:r>
        <w:rPr>
          <w:rFonts w:hint="default" w:ascii="FreeSerif" w:hAnsi="FreeSerif" w:eastAsia="方正仿宋_GBK" w:cs="FreeSerif"/>
          <w:snapToGrid/>
          <w:kern w:val="2"/>
          <w:sz w:val="32"/>
          <w:szCs w:val="32"/>
          <w:lang w:val="en-US" w:eastAsia="zh-CN" w:bidi="ar"/>
        </w:rPr>
        <w:t>健全部门间地下水环境信息共享机制。各级生态环境、自然资源、水利部门共享地下水环境状况调查、水文地质勘查、地下水资源调查等信息。</w:t>
      </w:r>
      <w:r>
        <w:rPr>
          <w:rFonts w:hint="default" w:ascii="FreeSerif" w:hAnsi="FreeSerif" w:eastAsia="方正楷体_GBK" w:cs="FreeSerif"/>
          <w:b w:val="0"/>
          <w:snapToGrid/>
          <w:kern w:val="2"/>
          <w:sz w:val="32"/>
          <w:szCs w:val="32"/>
          <w:lang w:val="en-US" w:eastAsia="zh-CN" w:bidi="ar"/>
        </w:rPr>
        <w:t>（市生态环境局、市自然资源局、市水利局等按职责分工负责）</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仿宋_GBK" w:cs="FreeSerif"/>
          <w:b w:val="0"/>
          <w:kern w:val="2"/>
          <w:sz w:val="32"/>
          <w:szCs w:val="32"/>
        </w:rPr>
      </w:pPr>
      <w:r>
        <w:rPr>
          <w:rFonts w:hint="default" w:ascii="FreeSerif" w:hAnsi="FreeSerif" w:eastAsia="方正仿宋_GBK" w:cs="FreeSerif"/>
          <w:b w:val="0"/>
          <w:snapToGrid/>
          <w:kern w:val="2"/>
          <w:sz w:val="32"/>
          <w:szCs w:val="32"/>
          <w:lang w:val="en-US" w:eastAsia="zh-CN" w:bidi="ar"/>
        </w:rPr>
        <w:t>2．加强地下水污染源头预防、风险管控与修复。</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楷体_GBK" w:cs="FreeSerif"/>
          <w:b w:val="0"/>
          <w:kern w:val="2"/>
          <w:sz w:val="32"/>
          <w:szCs w:val="32"/>
        </w:rPr>
      </w:pPr>
      <w:r>
        <w:rPr>
          <w:rFonts w:hint="default" w:ascii="FreeSerif" w:hAnsi="FreeSerif" w:eastAsia="方正仿宋_GBK" w:cs="FreeSerif"/>
          <w:snapToGrid/>
          <w:kern w:val="2"/>
          <w:sz w:val="32"/>
          <w:szCs w:val="32"/>
          <w:lang w:val="en-US" w:eastAsia="zh-CN" w:bidi="ar"/>
        </w:rPr>
        <w:t>开展地下水污</w:t>
      </w:r>
      <w:r>
        <w:rPr>
          <w:rFonts w:hint="eastAsia" w:ascii="方正仿宋_GBK" w:hAnsi="方正仿宋_GBK" w:eastAsia="方正仿宋_GBK" w:cs="方正仿宋_GBK"/>
          <w:snapToGrid/>
          <w:kern w:val="2"/>
          <w:sz w:val="32"/>
          <w:szCs w:val="32"/>
          <w:lang w:val="en-US" w:eastAsia="zh-CN" w:bidi="ar"/>
        </w:rPr>
        <w:t>染状况调查评估。开展化学品生产企业、尾矿库、危险废物处置场、垃圾填埋场、工业集聚区、矿山开采区（简称“一企一库”“两场两区”）地下水环境状况调查评估，衔接第二次污染源普查和重点行业企业用地调</w:t>
      </w:r>
      <w:r>
        <w:rPr>
          <w:rFonts w:hint="default" w:ascii="FreeSerif" w:hAnsi="FreeSerif" w:eastAsia="方正仿宋_GBK" w:cs="FreeSerif"/>
          <w:snapToGrid/>
          <w:kern w:val="2"/>
          <w:sz w:val="32"/>
          <w:szCs w:val="32"/>
          <w:lang w:val="en-US" w:eastAsia="zh-CN" w:bidi="ar"/>
        </w:rPr>
        <w:t>查、排污许可等成果，基本查清污染源信息、环境管理、水质状况等内容，评估地下水环境风险，识别管控重点。到2023年，完成省级以上化工园区、危险废物处置场和垃圾填埋场地下水环境调查评估。到2025年，完成其他污染源地下水调查评估。</w:t>
      </w:r>
      <w:r>
        <w:rPr>
          <w:rFonts w:hint="default" w:ascii="FreeSerif" w:hAnsi="FreeSerif" w:eastAsia="方正楷体_GBK" w:cs="FreeSerif"/>
          <w:b w:val="0"/>
          <w:snapToGrid/>
          <w:kern w:val="2"/>
          <w:sz w:val="32"/>
          <w:szCs w:val="32"/>
          <w:lang w:val="en-US" w:eastAsia="zh-CN" w:bidi="ar"/>
        </w:rPr>
        <w:t>（市生态环境局、市工信局、市自然资源局、市住建局、市城管局等按职责分工负责）</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楷体_GBK" w:cs="FreeSerif"/>
          <w:b w:val="0"/>
          <w:kern w:val="2"/>
          <w:sz w:val="32"/>
          <w:szCs w:val="32"/>
        </w:rPr>
      </w:pPr>
      <w:r>
        <w:rPr>
          <w:rFonts w:hint="default" w:ascii="FreeSerif" w:hAnsi="FreeSerif" w:eastAsia="方正仿宋_GBK" w:cs="FreeSerif"/>
          <w:snapToGrid/>
          <w:kern w:val="2"/>
          <w:sz w:val="32"/>
          <w:szCs w:val="32"/>
          <w:lang w:val="en-US" w:eastAsia="zh-CN" w:bidi="ar"/>
        </w:rPr>
        <w:t>落实地下水防渗和监测措施。对列入地下水污染防治重点单位名录企业开展地下水污染风险防渗漏排查。对存在问题的设施采取防渗改造措施。</w:t>
      </w:r>
      <w:r>
        <w:rPr>
          <w:rFonts w:hint="eastAsia" w:ascii="方正仿宋_GBK" w:hAnsi="方正仿宋_GBK" w:eastAsia="方正仿宋_GBK" w:cs="方正仿宋_GBK"/>
          <w:snapToGrid/>
          <w:kern w:val="2"/>
          <w:sz w:val="32"/>
          <w:szCs w:val="32"/>
          <w:lang w:val="en-US" w:eastAsia="zh-CN" w:bidi="ar"/>
        </w:rPr>
        <w:t>“一企一库”“两场两区”落实</w:t>
      </w:r>
      <w:r>
        <w:rPr>
          <w:rFonts w:hint="default" w:ascii="FreeSerif" w:hAnsi="FreeSerif" w:eastAsia="方正仿宋_GBK" w:cs="FreeSerif"/>
          <w:snapToGrid/>
          <w:kern w:val="2"/>
          <w:sz w:val="32"/>
          <w:szCs w:val="32"/>
          <w:lang w:val="en-US" w:eastAsia="zh-CN" w:bidi="ar"/>
        </w:rPr>
        <w:t>防渗漏措施，按要求建设地下水环境监测井，开展地下水环境自行监测。开展地下水污染防治重点排污单位周边地下水环境监测。</w:t>
      </w:r>
      <w:r>
        <w:rPr>
          <w:rFonts w:hint="default" w:ascii="FreeSerif" w:hAnsi="FreeSerif" w:eastAsia="方正楷体_GBK" w:cs="FreeSerif"/>
          <w:b w:val="0"/>
          <w:snapToGrid/>
          <w:kern w:val="2"/>
          <w:sz w:val="32"/>
          <w:szCs w:val="32"/>
          <w:lang w:val="en-US" w:eastAsia="zh-CN" w:bidi="ar"/>
        </w:rPr>
        <w:t>（市生态环境局、市住建局、市工信局等按职责分工负责）</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楷体_GBK" w:cs="FreeSerif"/>
          <w:b w:val="0"/>
          <w:kern w:val="2"/>
          <w:sz w:val="32"/>
          <w:szCs w:val="32"/>
        </w:rPr>
      </w:pPr>
      <w:r>
        <w:rPr>
          <w:rFonts w:hint="default" w:ascii="FreeSerif" w:hAnsi="FreeSerif" w:eastAsia="方正仿宋_GBK" w:cs="FreeSerif"/>
          <w:snapToGrid/>
          <w:kern w:val="2"/>
          <w:sz w:val="32"/>
          <w:szCs w:val="32"/>
          <w:lang w:val="en-US" w:eastAsia="zh-CN" w:bidi="ar"/>
        </w:rPr>
        <w:t>开展地下水污染源风险管控和修复试点。化工园区、危险废物处置场和生活垃圾填埋场等存在特征污染物超过地下水质量标准的，要开展土壤和地下水污染风险管控或修复工作，采取管理措施和工程措施，阻止地下水污染扩散。针对地下水有机污染物、重金属等迁移性强的污染物，兼顾不同水文地质条件，选择适宜的修复技术。加强地下水风险管控效果评估和后期环境监管，确保风险管控或修复效果达到要求。开展废弃矿井封填试点。（</w:t>
      </w:r>
      <w:r>
        <w:rPr>
          <w:rFonts w:hint="default" w:ascii="FreeSerif" w:hAnsi="FreeSerif" w:eastAsia="方正楷体_GBK" w:cs="FreeSerif"/>
          <w:b w:val="0"/>
          <w:snapToGrid/>
          <w:kern w:val="2"/>
          <w:sz w:val="32"/>
          <w:szCs w:val="32"/>
          <w:lang w:val="en-US" w:eastAsia="zh-CN" w:bidi="ar"/>
        </w:rPr>
        <w:t>市生态环境局、市工信局、市住建局等按职责分工负责</w:t>
      </w:r>
      <w:r>
        <w:rPr>
          <w:rFonts w:hint="default" w:ascii="FreeSerif" w:hAnsi="FreeSerif" w:eastAsia="方正仿宋_GBK" w:cs="FreeSerif"/>
          <w:snapToGrid/>
          <w:kern w:val="2"/>
          <w:sz w:val="32"/>
          <w:szCs w:val="32"/>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仿宋_GBK" w:cs="FreeSerif"/>
          <w:b w:val="0"/>
          <w:kern w:val="2"/>
          <w:sz w:val="32"/>
          <w:szCs w:val="32"/>
        </w:rPr>
      </w:pPr>
      <w:r>
        <w:rPr>
          <w:rFonts w:hint="default" w:ascii="FreeSerif" w:hAnsi="FreeSerif" w:eastAsia="方正仿宋_GBK" w:cs="FreeSerif"/>
          <w:b w:val="0"/>
          <w:snapToGrid/>
          <w:kern w:val="2"/>
          <w:sz w:val="32"/>
          <w:szCs w:val="32"/>
          <w:lang w:val="en-US" w:eastAsia="zh-CN" w:bidi="ar"/>
        </w:rPr>
        <w:t>3．保障地下水型饮用水水源环境安全。</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80" w:lineRule="exact"/>
        <w:ind w:left="0" w:leftChars="0" w:right="0" w:firstLine="640" w:firstLineChars="200"/>
        <w:jc w:val="both"/>
        <w:textAlignment w:val="auto"/>
        <w:rPr>
          <w:rFonts w:hint="default" w:ascii="FreeSerif" w:hAnsi="FreeSerif" w:eastAsia="方正楷体_GBK" w:cs="FreeSerif"/>
          <w:b w:val="0"/>
          <w:kern w:val="2"/>
          <w:sz w:val="32"/>
          <w:szCs w:val="32"/>
        </w:rPr>
      </w:pPr>
      <w:r>
        <w:rPr>
          <w:rFonts w:hint="default" w:ascii="FreeSerif" w:hAnsi="FreeSerif" w:eastAsia="方正仿宋_GBK" w:cs="FreeSerif"/>
          <w:snapToGrid/>
          <w:kern w:val="2"/>
          <w:sz w:val="32"/>
          <w:szCs w:val="32"/>
          <w:lang w:val="en-US" w:eastAsia="zh-CN" w:bidi="ar"/>
        </w:rPr>
        <w:t>排查城镇地下水型饮用水水源污染风险。开展地下水型饮用水水源保护区、补给区及供水单位周边区域的地下水环境状况调查，识别可能存在的污染源，研判风险等级，建立和完善地下水型饮用水水源补给区内优先管控污染源清单，加强饮用水水源污染风险防范。</w:t>
      </w:r>
      <w:r>
        <w:rPr>
          <w:rFonts w:hint="default" w:ascii="FreeSerif" w:hAnsi="FreeSerif" w:eastAsia="方正楷体_GBK" w:cs="FreeSerif"/>
          <w:b w:val="0"/>
          <w:snapToGrid/>
          <w:kern w:val="2"/>
          <w:sz w:val="32"/>
          <w:szCs w:val="32"/>
          <w:lang w:val="en-US" w:eastAsia="zh-CN" w:bidi="ar"/>
        </w:rPr>
        <w:t>（市生态环境局、市自然资源局、市水利局等按职责分工负责）</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80" w:lineRule="exact"/>
        <w:ind w:left="0" w:leftChars="0" w:right="0" w:firstLine="640" w:firstLineChars="200"/>
        <w:jc w:val="both"/>
        <w:textAlignment w:val="auto"/>
        <w:rPr>
          <w:rFonts w:hint="default" w:ascii="FreeSerif" w:hAnsi="FreeSerif" w:eastAsia="方正楷体_GBK" w:cs="FreeSerif"/>
          <w:b w:val="0"/>
          <w:kern w:val="2"/>
          <w:sz w:val="32"/>
          <w:szCs w:val="32"/>
        </w:rPr>
      </w:pPr>
      <w:r>
        <w:rPr>
          <w:rFonts w:hint="default" w:ascii="FreeSerif" w:hAnsi="FreeSerif" w:eastAsia="方正仿宋_GBK" w:cs="FreeSerif"/>
          <w:snapToGrid/>
          <w:kern w:val="2"/>
          <w:sz w:val="32"/>
          <w:szCs w:val="32"/>
          <w:lang w:val="en-US" w:eastAsia="zh-CN" w:bidi="ar"/>
        </w:rPr>
        <w:t>强化地下水型饮用水水源保护。强化县级以上地下水型饮用水水源保护区划定和优化调整，设立标志，进行规范化建设。针对水质超标的地下水型饮用水水源，分析超标原因，因地制宜采取污染防治、水厂深度处理或更换水源等措施，确保饮水安全。建立饮用水水源地档案制度，逐步推进县级及以上饮用水水源全覆盖。推进县级以上城市浅层地下水型饮用水重要水源补给区划定，加强补给区地下水环境管理。</w:t>
      </w:r>
      <w:r>
        <w:rPr>
          <w:rFonts w:hint="default" w:ascii="FreeSerif" w:hAnsi="FreeSerif" w:eastAsia="方正楷体_GBK" w:cs="FreeSerif"/>
          <w:b w:val="0"/>
          <w:snapToGrid/>
          <w:kern w:val="2"/>
          <w:sz w:val="32"/>
          <w:szCs w:val="32"/>
          <w:lang w:val="en-US" w:eastAsia="zh-CN" w:bidi="ar"/>
        </w:rPr>
        <w:t>（市生态环境局、市水利局等按职责分工负责）</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80" w:lineRule="exact"/>
        <w:ind w:left="0" w:leftChars="0" w:right="0" w:firstLine="640" w:firstLineChars="200"/>
        <w:jc w:val="both"/>
        <w:textAlignment w:val="auto"/>
        <w:rPr>
          <w:rFonts w:hint="default" w:ascii="FreeSerif" w:hAnsi="FreeSerif" w:eastAsia="仿宋" w:cs="FreeSerif"/>
          <w:kern w:val="2"/>
          <w:sz w:val="32"/>
          <w:szCs w:val="32"/>
        </w:rPr>
      </w:pPr>
      <w:r>
        <w:rPr>
          <w:rFonts w:hint="default" w:ascii="FreeSerif" w:hAnsi="FreeSerif" w:eastAsia="方正仿宋_GBK" w:cs="FreeSerif"/>
          <w:snapToGrid/>
          <w:kern w:val="2"/>
          <w:sz w:val="32"/>
          <w:szCs w:val="32"/>
          <w:lang w:val="en-US" w:eastAsia="zh-CN" w:bidi="ar"/>
        </w:rPr>
        <w:t>防范傍河地下水型饮用水水源环境风险。加强地表水和地下水污染协同防治，加强河道水质管理，减少受污染河段侧渗和垂直补给对地下水污染，确保傍河地下水型饮用水水源水质安全。</w:t>
      </w:r>
      <w:r>
        <w:rPr>
          <w:rFonts w:hint="default" w:ascii="FreeSerif" w:hAnsi="FreeSerif" w:eastAsia="方正楷体_GBK" w:cs="FreeSerif"/>
          <w:b w:val="0"/>
          <w:snapToGrid/>
          <w:kern w:val="2"/>
          <w:sz w:val="32"/>
          <w:szCs w:val="32"/>
          <w:lang w:val="en-US" w:eastAsia="zh-CN" w:bidi="ar"/>
        </w:rPr>
        <w:t>（市生态环境局、市发改委、市水利局等按职责分工负责）</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82"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widowControl w:val="0"/>
              <w:suppressLineNumbers w:val="0"/>
              <w:overflowPunct w:val="0"/>
              <w:autoSpaceDE w:val="0"/>
              <w:autoSpaceDN/>
              <w:adjustRightInd w:val="0"/>
              <w:snapToGrid w:val="0"/>
              <w:spacing w:before="0" w:beforeAutospacing="0" w:after="0" w:afterAutospacing="0" w:line="0" w:lineRule="atLeast"/>
              <w:ind w:left="0" w:right="0" w:firstLine="0" w:firstLineChars="0"/>
              <w:jc w:val="center"/>
              <w:rPr>
                <w:rFonts w:hint="default" w:ascii="FreeSerif" w:hAnsi="FreeSerif" w:eastAsia="仿宋" w:cs="FreeSerif"/>
                <w:b/>
                <w:spacing w:val="0"/>
                <w:kern w:val="2"/>
                <w:sz w:val="24"/>
                <w:szCs w:val="24"/>
              </w:rPr>
            </w:pPr>
            <w:r>
              <w:rPr>
                <w:rFonts w:hint="default" w:ascii="FreeSerif" w:hAnsi="FreeSerif" w:eastAsia="方正黑体_GBK" w:cs="FreeSerif"/>
                <w:b w:val="0"/>
                <w:snapToGrid/>
                <w:spacing w:val="0"/>
                <w:kern w:val="2"/>
                <w:sz w:val="24"/>
                <w:szCs w:val="24"/>
                <w:lang w:val="en-US" w:eastAsia="zh-CN" w:bidi="ar"/>
              </w:rPr>
              <w:t>专栏2  地下水污染防治重点工程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trPr>
        <w:tc>
          <w:tcPr>
            <w:tcW w:w="9282" w:type="dxa"/>
            <w:tcBorders>
              <w:top w:val="single" w:color="auto" w:sz="4" w:space="0"/>
              <w:left w:val="single" w:color="auto" w:sz="4" w:space="0"/>
              <w:bottom w:val="single" w:color="auto" w:sz="4" w:space="0"/>
              <w:right w:val="single" w:color="auto" w:sz="4" w:space="0"/>
            </w:tcBorders>
            <w:noWrap w:val="0"/>
            <w:vAlign w:val="top"/>
          </w:tcPr>
          <w:p>
            <w:pPr>
              <w:pStyle w:val="10"/>
              <w:keepNext w:val="0"/>
              <w:keepLines w:val="0"/>
              <w:widowControl w:val="0"/>
              <w:suppressLineNumbers w:val="0"/>
              <w:overflowPunct w:val="0"/>
              <w:autoSpaceDE w:val="0"/>
              <w:autoSpaceDN/>
              <w:adjustRightInd w:val="0"/>
              <w:snapToGrid w:val="0"/>
              <w:spacing w:before="0" w:beforeAutospacing="0" w:after="0" w:afterAutospacing="0" w:line="0" w:lineRule="atLeast"/>
              <w:ind w:left="0" w:leftChars="0" w:right="0" w:firstLine="420" w:firstLineChars="200"/>
              <w:jc w:val="both"/>
              <w:rPr>
                <w:rFonts w:hint="default" w:ascii="FreeSerif" w:hAnsi="FreeSerif" w:eastAsia="仿宋" w:cs="FreeSerif"/>
                <w:spacing w:val="0"/>
                <w:kern w:val="2"/>
                <w:sz w:val="21"/>
                <w:szCs w:val="21"/>
              </w:rPr>
            </w:pPr>
            <w:r>
              <w:rPr>
                <w:rFonts w:hint="default" w:ascii="FreeSerif" w:hAnsi="FreeSerif" w:eastAsia="方正楷体_GBK" w:cs="FreeSerif"/>
                <w:b w:val="0"/>
                <w:snapToGrid/>
                <w:spacing w:val="0"/>
                <w:kern w:val="2"/>
                <w:sz w:val="21"/>
                <w:szCs w:val="21"/>
                <w:lang w:val="en-US" w:eastAsia="zh-CN" w:bidi="ar"/>
              </w:rPr>
              <w:t>农村地下水饮用水源地标准化建设工程。</w:t>
            </w:r>
            <w:r>
              <w:rPr>
                <w:rFonts w:hint="default" w:ascii="FreeSerif" w:hAnsi="FreeSerif" w:eastAsia="方正仿宋_GBK" w:cs="FreeSerif"/>
                <w:snapToGrid/>
                <w:spacing w:val="0"/>
                <w:kern w:val="2"/>
                <w:sz w:val="21"/>
                <w:szCs w:val="21"/>
                <w:lang w:val="en-US" w:eastAsia="zh-CN" w:bidi="ar"/>
              </w:rPr>
              <w:t>继续推进全市农村地下水饮用水源地标准化建设工程，设立明确的地理界标和明显的警示标志，周边设置护栏等。</w:t>
            </w:r>
          </w:p>
          <w:p>
            <w:pPr>
              <w:pStyle w:val="10"/>
              <w:keepNext w:val="0"/>
              <w:keepLines w:val="0"/>
              <w:widowControl w:val="0"/>
              <w:suppressLineNumbers w:val="0"/>
              <w:overflowPunct w:val="0"/>
              <w:autoSpaceDE w:val="0"/>
              <w:autoSpaceDN/>
              <w:adjustRightInd w:val="0"/>
              <w:snapToGrid w:val="0"/>
              <w:spacing w:before="0" w:beforeAutospacing="0" w:after="0" w:afterAutospacing="0" w:line="0" w:lineRule="atLeast"/>
              <w:ind w:left="0" w:leftChars="0" w:right="0" w:firstLine="420" w:firstLineChars="200"/>
              <w:jc w:val="both"/>
              <w:rPr>
                <w:rFonts w:hint="default" w:ascii="FreeSerif" w:hAnsi="FreeSerif" w:eastAsia="仿宋" w:cs="FreeSerif"/>
                <w:spacing w:val="0"/>
                <w:kern w:val="2"/>
                <w:sz w:val="21"/>
                <w:szCs w:val="21"/>
              </w:rPr>
            </w:pPr>
            <w:r>
              <w:rPr>
                <w:rFonts w:hint="default" w:ascii="FreeSerif" w:hAnsi="FreeSerif" w:eastAsia="方正楷体_GBK" w:cs="FreeSerif"/>
                <w:b w:val="0"/>
                <w:snapToGrid/>
                <w:spacing w:val="0"/>
                <w:kern w:val="2"/>
                <w:sz w:val="21"/>
                <w:szCs w:val="21"/>
                <w:lang w:val="en-US" w:eastAsia="zh-CN" w:bidi="ar"/>
              </w:rPr>
              <w:t>地下水饮用水源地整治工程。</w:t>
            </w:r>
            <w:r>
              <w:rPr>
                <w:rFonts w:hint="default" w:ascii="FreeSerif" w:hAnsi="FreeSerif" w:eastAsia="方正仿宋_GBK" w:cs="FreeSerif"/>
                <w:snapToGrid/>
                <w:spacing w:val="0"/>
                <w:kern w:val="2"/>
                <w:sz w:val="21"/>
                <w:szCs w:val="21"/>
                <w:lang w:val="en-US" w:eastAsia="zh-CN" w:bidi="ar"/>
              </w:rPr>
              <w:t>全市范围内清理水源保护区内违法建设项目和排污口等。针对人为原因导致水质超标的地下水型饮用水水源，实施治理工程。</w:t>
            </w:r>
          </w:p>
          <w:p>
            <w:pPr>
              <w:pStyle w:val="10"/>
              <w:keepNext w:val="0"/>
              <w:keepLines w:val="0"/>
              <w:widowControl w:val="0"/>
              <w:suppressLineNumbers w:val="0"/>
              <w:overflowPunct w:val="0"/>
              <w:autoSpaceDE w:val="0"/>
              <w:autoSpaceDN/>
              <w:adjustRightInd w:val="0"/>
              <w:snapToGrid w:val="0"/>
              <w:spacing w:before="0" w:beforeAutospacing="0" w:after="0" w:afterAutospacing="0" w:line="0" w:lineRule="atLeast"/>
              <w:ind w:left="0" w:leftChars="0" w:right="0" w:firstLine="420" w:firstLineChars="200"/>
              <w:jc w:val="both"/>
              <w:rPr>
                <w:rFonts w:hint="default" w:ascii="FreeSerif" w:hAnsi="FreeSerif" w:eastAsia="仿宋" w:cs="FreeSerif"/>
                <w:spacing w:val="0"/>
                <w:kern w:val="2"/>
                <w:sz w:val="21"/>
                <w:szCs w:val="21"/>
              </w:rPr>
            </w:pPr>
            <w:r>
              <w:rPr>
                <w:rFonts w:hint="default" w:ascii="FreeSerif" w:hAnsi="FreeSerif" w:eastAsia="方正楷体_GBK" w:cs="FreeSerif"/>
                <w:b w:val="0"/>
                <w:snapToGrid/>
                <w:spacing w:val="0"/>
                <w:kern w:val="2"/>
                <w:sz w:val="21"/>
                <w:szCs w:val="21"/>
                <w:lang w:val="en-US" w:eastAsia="zh-CN" w:bidi="ar"/>
              </w:rPr>
              <w:t>地下水饮用水源及补给区清单和污染源清单。</w:t>
            </w:r>
            <w:r>
              <w:rPr>
                <w:rFonts w:hint="default" w:ascii="FreeSerif" w:hAnsi="FreeSerif" w:eastAsia="方正仿宋_GBK" w:cs="FreeSerif"/>
                <w:snapToGrid/>
                <w:spacing w:val="0"/>
                <w:kern w:val="2"/>
                <w:sz w:val="21"/>
                <w:szCs w:val="21"/>
                <w:lang w:val="en-US" w:eastAsia="zh-CN" w:bidi="ar"/>
              </w:rPr>
              <w:t>2021年年底前，各地形成县级以上地下水饮用水源及补给区清单和污染源清单。</w:t>
            </w:r>
          </w:p>
          <w:p>
            <w:pPr>
              <w:pStyle w:val="10"/>
              <w:keepNext w:val="0"/>
              <w:keepLines w:val="0"/>
              <w:widowControl w:val="0"/>
              <w:suppressLineNumbers w:val="0"/>
              <w:overflowPunct w:val="0"/>
              <w:autoSpaceDE w:val="0"/>
              <w:autoSpaceDN/>
              <w:adjustRightInd w:val="0"/>
              <w:snapToGrid w:val="0"/>
              <w:spacing w:before="0" w:beforeAutospacing="0" w:after="0" w:afterAutospacing="0" w:line="0" w:lineRule="atLeast"/>
              <w:ind w:left="0" w:leftChars="0" w:right="0" w:firstLine="420" w:firstLineChars="200"/>
              <w:jc w:val="both"/>
              <w:rPr>
                <w:rFonts w:hint="default" w:ascii="FreeSerif" w:hAnsi="FreeSerif" w:eastAsia="仿宋" w:cs="FreeSerif"/>
                <w:spacing w:val="0"/>
                <w:kern w:val="2"/>
                <w:sz w:val="21"/>
                <w:szCs w:val="21"/>
              </w:rPr>
            </w:pPr>
            <w:r>
              <w:rPr>
                <w:rFonts w:hint="default" w:ascii="FreeSerif" w:hAnsi="FreeSerif" w:eastAsia="方正楷体_GBK" w:cs="FreeSerif"/>
                <w:b w:val="0"/>
                <w:snapToGrid/>
                <w:spacing w:val="0"/>
                <w:kern w:val="2"/>
                <w:sz w:val="21"/>
                <w:szCs w:val="21"/>
                <w:lang w:val="en-US" w:eastAsia="zh-CN" w:bidi="ar"/>
              </w:rPr>
              <w:t>地下水调查。</w:t>
            </w:r>
            <w:r>
              <w:rPr>
                <w:rFonts w:hint="default" w:ascii="FreeSerif" w:hAnsi="FreeSerif" w:eastAsia="方正仿宋_GBK" w:cs="FreeSerif"/>
                <w:snapToGrid/>
                <w:spacing w:val="0"/>
                <w:kern w:val="2"/>
                <w:sz w:val="21"/>
                <w:szCs w:val="21"/>
                <w:lang w:val="en-US" w:eastAsia="zh-CN" w:bidi="ar"/>
              </w:rPr>
              <w:t>2022年年底前，开展地下水调查。</w:t>
            </w:r>
          </w:p>
          <w:p>
            <w:pPr>
              <w:pStyle w:val="10"/>
              <w:keepNext w:val="0"/>
              <w:keepLines w:val="0"/>
              <w:widowControl w:val="0"/>
              <w:suppressLineNumbers w:val="0"/>
              <w:overflowPunct w:val="0"/>
              <w:autoSpaceDE w:val="0"/>
              <w:autoSpaceDN/>
              <w:adjustRightInd w:val="0"/>
              <w:snapToGrid w:val="0"/>
              <w:spacing w:before="0" w:beforeAutospacing="0" w:after="0" w:afterAutospacing="0" w:line="0" w:lineRule="atLeast"/>
              <w:ind w:left="0" w:leftChars="0" w:right="0" w:firstLine="420" w:firstLineChars="200"/>
              <w:jc w:val="both"/>
              <w:rPr>
                <w:rFonts w:hint="default" w:ascii="FreeSerif" w:hAnsi="FreeSerif" w:eastAsia="仿宋" w:cs="FreeSerif"/>
                <w:spacing w:val="0"/>
                <w:kern w:val="2"/>
                <w:sz w:val="24"/>
                <w:szCs w:val="24"/>
              </w:rPr>
            </w:pPr>
            <w:r>
              <w:rPr>
                <w:rFonts w:hint="default" w:ascii="FreeSerif" w:hAnsi="FreeSerif" w:eastAsia="方正楷体_GBK" w:cs="FreeSerif"/>
                <w:b w:val="0"/>
                <w:snapToGrid/>
                <w:spacing w:val="0"/>
                <w:kern w:val="2"/>
                <w:sz w:val="21"/>
                <w:szCs w:val="21"/>
                <w:lang w:val="en-US" w:eastAsia="zh-CN" w:bidi="ar"/>
              </w:rPr>
              <w:t>开展地下水污染防治区划。</w:t>
            </w:r>
            <w:r>
              <w:rPr>
                <w:rFonts w:hint="default" w:ascii="FreeSerif" w:hAnsi="FreeSerif" w:eastAsia="方正仿宋_GBK" w:cs="FreeSerif"/>
                <w:snapToGrid/>
                <w:spacing w:val="0"/>
                <w:kern w:val="2"/>
                <w:sz w:val="21"/>
                <w:szCs w:val="21"/>
                <w:lang w:val="en-US" w:eastAsia="zh-CN" w:bidi="ar"/>
              </w:rPr>
              <w:t>2023年年底前，完成地下水污染防治分区划定</w:t>
            </w:r>
            <w:r>
              <w:rPr>
                <w:rFonts w:hint="default" w:ascii="FreeSerif" w:hAnsi="FreeSerif" w:eastAsia="方正仿宋_GBK" w:cs="FreeSerif"/>
                <w:snapToGrid/>
                <w:spacing w:val="0"/>
                <w:kern w:val="2"/>
                <w:sz w:val="24"/>
                <w:szCs w:val="24"/>
                <w:lang w:val="en-US" w:eastAsia="zh-CN" w:bidi="ar"/>
              </w:rPr>
              <w:t>。</w:t>
            </w:r>
          </w:p>
        </w:tc>
      </w:tr>
    </w:tbl>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1"/>
        <w:rPr>
          <w:rFonts w:hint="default" w:ascii="FreeSerif" w:hAnsi="FreeSerif" w:eastAsia="方正仿宋_GBK" w:cs="FreeSerif"/>
          <w:sz w:val="32"/>
          <w:szCs w:val="32"/>
        </w:rPr>
      </w:pPr>
      <w:bookmarkStart w:id="11" w:name="_Toc1709971140"/>
      <w:r>
        <w:rPr>
          <w:rFonts w:hint="default" w:ascii="FreeSerif" w:hAnsi="FreeSerif" w:eastAsia="CESI楷体-GB13000" w:cs="FreeSerif"/>
          <w:sz w:val="32"/>
          <w:szCs w:val="32"/>
        </w:rPr>
        <w:t>（三）深化农业农村环境治理</w:t>
      </w:r>
      <w:bookmarkEnd w:id="11"/>
      <w:r>
        <w:rPr>
          <w:rFonts w:hint="default" w:ascii="FreeSerif" w:hAnsi="FreeSerif" w:eastAsia="CESI楷体-GB13000" w:cs="FreeSerif"/>
          <w:sz w:val="32"/>
          <w:szCs w:val="32"/>
          <w:lang w:eastAsia="zh-CN"/>
        </w:rPr>
        <w:t>。</w:t>
      </w:r>
      <w:r>
        <w:rPr>
          <w:rFonts w:hint="default" w:ascii="FreeSerif" w:hAnsi="FreeSerif" w:eastAsia="方正仿宋_GBK" w:cs="FreeSerif"/>
          <w:sz w:val="32"/>
          <w:szCs w:val="32"/>
          <w:lang w:val="en-US" w:eastAsia="zh-CN"/>
        </w:rPr>
        <w:t>聚焦农村饮用水水源保护、农业面源污染防治、农村生活污水治理、农村黑臭水体治理、农村环境整治、畜禽养殖污染治理等重点工作，深入推进农业农村污染治理攻坚，建设生活环境整洁优美、生态系统健康稳定、人与自然和谐共生的美丽乡村。</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仿宋_GBK" w:cs="FreeSerif"/>
          <w:b w:val="0"/>
          <w:kern w:val="2"/>
          <w:sz w:val="32"/>
          <w:szCs w:val="32"/>
        </w:rPr>
      </w:pPr>
      <w:r>
        <w:rPr>
          <w:rFonts w:hint="default" w:ascii="FreeSerif" w:hAnsi="FreeSerif" w:eastAsia="方正仿宋_GBK" w:cs="FreeSerif"/>
          <w:b w:val="0"/>
          <w:snapToGrid/>
          <w:kern w:val="2"/>
          <w:sz w:val="32"/>
          <w:szCs w:val="32"/>
          <w:lang w:val="en-US" w:eastAsia="zh-CN" w:bidi="ar"/>
        </w:rPr>
        <w:t>1．加强农村饮用水水源地保护。</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楷体_GBK" w:cs="FreeSerif"/>
          <w:b w:val="0"/>
          <w:kern w:val="2"/>
          <w:sz w:val="32"/>
          <w:szCs w:val="32"/>
        </w:rPr>
      </w:pPr>
      <w:r>
        <w:rPr>
          <w:rFonts w:hint="default" w:ascii="FreeSerif" w:hAnsi="FreeSerif" w:eastAsia="方正仿宋_GBK" w:cs="FreeSerif"/>
          <w:snapToGrid/>
          <w:kern w:val="2"/>
          <w:sz w:val="32"/>
          <w:szCs w:val="32"/>
          <w:lang w:val="en-US" w:eastAsia="zh-CN" w:bidi="ar"/>
        </w:rPr>
        <w:t>推进农村饮用水水源地规范化建设，在饮用水水源保护区边界设立地理界标、警示标志或宣传牌，必要时采取隔离防护措施。排查影响农村水源地安全的工业企业、畜禽养殖、水产养殖、垃圾堆放等环境风险源。制定饮用水水源地整治方案和应急预案。通过整治风险源、更换水源地等方式，消除风险隐患，保障饮水安全。加强饮用水水源地水质监测</w:t>
      </w:r>
      <w:r>
        <w:rPr>
          <w:rFonts w:hint="eastAsia" w:ascii="方正仿宋_GBK" w:hAnsi="方正仿宋_GBK" w:eastAsia="方正仿宋_GBK" w:cs="方正仿宋_GBK"/>
          <w:snapToGrid/>
          <w:kern w:val="2"/>
          <w:sz w:val="32"/>
          <w:szCs w:val="32"/>
          <w:lang w:val="en-US" w:eastAsia="zh-CN" w:bidi="ar"/>
        </w:rPr>
        <w:t>，农村“千吨万人”水源</w:t>
      </w:r>
      <w:r>
        <w:rPr>
          <w:rFonts w:hint="default" w:ascii="FreeSerif" w:hAnsi="FreeSerif" w:eastAsia="方正仿宋_GBK" w:cs="FreeSerif"/>
          <w:snapToGrid/>
          <w:kern w:val="2"/>
          <w:sz w:val="32"/>
          <w:szCs w:val="32"/>
          <w:lang w:val="en-US" w:eastAsia="zh-CN" w:bidi="ar"/>
        </w:rPr>
        <w:t>地水质实行一季度一测。</w:t>
      </w:r>
      <w:r>
        <w:rPr>
          <w:rFonts w:hint="default" w:ascii="FreeSerif" w:hAnsi="FreeSerif" w:eastAsia="方正楷体_GBK" w:cs="FreeSerif"/>
          <w:b w:val="0"/>
          <w:snapToGrid/>
          <w:kern w:val="2"/>
          <w:sz w:val="32"/>
          <w:szCs w:val="32"/>
          <w:lang w:val="en-US" w:eastAsia="zh-CN" w:bidi="ar"/>
        </w:rPr>
        <w:t>（市生态环境局、市水利局、市农业农村局、市畜牧业发展服务中心、市卫健委按职责分工负责）</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仿宋_GBK" w:cs="FreeSerif"/>
          <w:b w:val="0"/>
          <w:kern w:val="2"/>
          <w:sz w:val="32"/>
          <w:szCs w:val="32"/>
        </w:rPr>
      </w:pPr>
      <w:r>
        <w:rPr>
          <w:rFonts w:hint="default" w:ascii="FreeSerif" w:hAnsi="FreeSerif" w:eastAsia="方正仿宋_GBK" w:cs="FreeSerif"/>
          <w:b w:val="0"/>
          <w:snapToGrid/>
          <w:kern w:val="2"/>
          <w:sz w:val="32"/>
          <w:szCs w:val="32"/>
          <w:lang w:val="en-US" w:eastAsia="zh-CN" w:bidi="ar"/>
        </w:rPr>
        <w:t>2．推进农业面源污染防治。</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楷体_GBK" w:cs="FreeSerif"/>
          <w:b w:val="0"/>
          <w:kern w:val="2"/>
          <w:sz w:val="32"/>
          <w:szCs w:val="32"/>
        </w:rPr>
      </w:pPr>
      <w:r>
        <w:rPr>
          <w:rFonts w:hint="default" w:ascii="FreeSerif" w:hAnsi="FreeSerif" w:eastAsia="方正仿宋_GBK" w:cs="FreeSerif"/>
          <w:snapToGrid/>
          <w:kern w:val="2"/>
          <w:sz w:val="32"/>
          <w:szCs w:val="32"/>
          <w:lang w:val="en-US" w:eastAsia="zh-CN" w:bidi="ar"/>
        </w:rPr>
        <w:t>加强种植业污染防治。持续推进化肥农药减量增效，全面推广精准施肥，推进测土配方施肥、有机肥替代化肥，合理调整施肥结构。加强农业投入品规范化管理，推广应用低毒低残留农药，集成推广绿色防控技术。鼓励新型经营主体、社会化服务组织等开展肥料统配统施、病虫害统防统治等服务。到2025年，全市主要农作物化肥、农药利用率提高到43</w:t>
      </w:r>
      <w:r>
        <w:rPr>
          <w:rFonts w:hint="default" w:ascii="FreeSerif" w:hAnsi="FreeSerif" w:eastAsia="CESI楷体-GB13000" w:cs="FreeSerif"/>
          <w:snapToGrid/>
          <w:kern w:val="2"/>
          <w:sz w:val="32"/>
          <w:szCs w:val="32"/>
          <w:lang w:val="en-US" w:eastAsia="zh-CN" w:bidi="ar"/>
        </w:rPr>
        <w:t>%</w:t>
      </w:r>
      <w:r>
        <w:rPr>
          <w:rFonts w:hint="default" w:ascii="FreeSerif" w:hAnsi="FreeSerif" w:eastAsia="方正仿宋_GBK" w:cs="FreeSerif"/>
          <w:snapToGrid/>
          <w:kern w:val="2"/>
          <w:sz w:val="32"/>
          <w:szCs w:val="32"/>
          <w:lang w:val="en-US" w:eastAsia="zh-CN" w:bidi="ar"/>
        </w:rPr>
        <w:t>以上。加强农业废弃物和废弃农膜回收利用，到2025年，全市农膜回收率达到85</w:t>
      </w:r>
      <w:r>
        <w:rPr>
          <w:rFonts w:hint="default" w:ascii="FreeSerif" w:hAnsi="FreeSerif" w:eastAsia="CESI楷体-GB13000" w:cs="FreeSerif"/>
          <w:snapToGrid/>
          <w:kern w:val="2"/>
          <w:sz w:val="32"/>
          <w:szCs w:val="32"/>
          <w:lang w:val="en-US" w:eastAsia="zh-CN" w:bidi="ar"/>
        </w:rPr>
        <w:t>%</w:t>
      </w:r>
      <w:r>
        <w:rPr>
          <w:rFonts w:hint="default" w:ascii="FreeSerif" w:hAnsi="FreeSerif" w:eastAsia="方正仿宋_GBK" w:cs="FreeSerif"/>
          <w:snapToGrid/>
          <w:kern w:val="2"/>
          <w:sz w:val="32"/>
          <w:szCs w:val="32"/>
          <w:lang w:val="en-US" w:eastAsia="zh-CN" w:bidi="ar"/>
        </w:rPr>
        <w:t>。提升秸秆资源化利用水平，健全秸秆收储运体系，合理布局“秸秆变肉”暨千万头肉牛建设项目。到2025年，全市秸秆综合利用率达到86</w:t>
      </w:r>
      <w:r>
        <w:rPr>
          <w:rFonts w:hint="default" w:ascii="FreeSerif" w:hAnsi="FreeSerif" w:eastAsia="CESI楷体-GB13000" w:cs="FreeSerif"/>
          <w:snapToGrid/>
          <w:kern w:val="2"/>
          <w:sz w:val="32"/>
          <w:szCs w:val="32"/>
          <w:lang w:val="en-US" w:eastAsia="zh-CN" w:bidi="ar"/>
        </w:rPr>
        <w:t>%</w:t>
      </w:r>
      <w:r>
        <w:rPr>
          <w:rFonts w:hint="default" w:ascii="FreeSerif" w:hAnsi="FreeSerif" w:eastAsia="方正仿宋_GBK" w:cs="FreeSerif"/>
          <w:snapToGrid/>
          <w:kern w:val="2"/>
          <w:sz w:val="32"/>
          <w:szCs w:val="32"/>
          <w:lang w:val="en-US" w:eastAsia="zh-CN" w:bidi="ar"/>
        </w:rPr>
        <w:t>以上，力争达到90</w:t>
      </w:r>
      <w:r>
        <w:rPr>
          <w:rFonts w:hint="default" w:ascii="FreeSerif" w:hAnsi="FreeSerif" w:eastAsia="CESI楷体-GB13000" w:cs="FreeSerif"/>
          <w:snapToGrid/>
          <w:kern w:val="2"/>
          <w:sz w:val="32"/>
          <w:szCs w:val="32"/>
          <w:lang w:val="en-US" w:eastAsia="zh-CN" w:bidi="ar"/>
        </w:rPr>
        <w:t>%</w:t>
      </w:r>
      <w:r>
        <w:rPr>
          <w:rFonts w:hint="default" w:ascii="FreeSerif" w:hAnsi="FreeSerif" w:eastAsia="方正仿宋_GBK" w:cs="FreeSerif"/>
          <w:snapToGrid/>
          <w:kern w:val="2"/>
          <w:sz w:val="32"/>
          <w:szCs w:val="32"/>
          <w:lang w:val="en-US" w:eastAsia="zh-CN" w:bidi="ar"/>
        </w:rPr>
        <w:t>。落实十项机制，层层压实秸秆露天禁烧责任，严格实行禁烧管理。在秸秆焚烧高发期，全面开展巡查检查，综合运用无人机和视频监控等信息化手段，及时发现和处置违规焚烧问题，保持秸秆禁烧高压态势。推动修订秸秆禁烧量化责任追究办法，进一步强化责任追究。</w:t>
      </w:r>
      <w:r>
        <w:rPr>
          <w:rFonts w:hint="default" w:ascii="FreeSerif" w:hAnsi="FreeSerif" w:eastAsia="方正楷体_GBK" w:cs="FreeSerif"/>
          <w:b w:val="0"/>
          <w:snapToGrid/>
          <w:kern w:val="2"/>
          <w:sz w:val="32"/>
          <w:szCs w:val="32"/>
          <w:lang w:val="en-US" w:eastAsia="zh-CN" w:bidi="ar"/>
        </w:rPr>
        <w:t>（市生态环境局、市农业农村局、市畜牧业发展服务中心按职责分工负责）</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楷体_GBK" w:cs="FreeSerif"/>
          <w:b w:val="0"/>
          <w:kern w:val="2"/>
          <w:sz w:val="32"/>
          <w:szCs w:val="32"/>
        </w:rPr>
      </w:pPr>
      <w:r>
        <w:rPr>
          <w:rFonts w:hint="default" w:ascii="FreeSerif" w:hAnsi="FreeSerif" w:eastAsia="方正仿宋_GBK" w:cs="FreeSerif"/>
          <w:snapToGrid/>
          <w:kern w:val="2"/>
          <w:sz w:val="32"/>
          <w:szCs w:val="32"/>
          <w:lang w:val="en-US" w:eastAsia="zh-CN" w:bidi="ar"/>
        </w:rPr>
        <w:t>加强畜禽养殖污染防治。编制畜禽养殖污染防治规划。深入推进畜禽粪污资源化利用。鼓励农民合作社等种植经营主体施用初级农家肥、成品有机肥，鼓励对农户购买和施用有机肥给予补贴。监督指导规模养殖场制定畜禽粪污资源化利用计划和台账。加强规模养殖场粪污收集贮存治理配套设施建设，到2025年，全市规模养殖场粪污处理设施配套率稳定在97</w:t>
      </w:r>
      <w:r>
        <w:rPr>
          <w:rFonts w:hint="default" w:ascii="FreeSerif" w:hAnsi="FreeSerif" w:eastAsia="CESI楷体-GB13000" w:cs="FreeSerif"/>
          <w:snapToGrid/>
          <w:kern w:val="2"/>
          <w:sz w:val="32"/>
          <w:szCs w:val="32"/>
          <w:lang w:val="en-US" w:eastAsia="zh-CN" w:bidi="ar"/>
        </w:rPr>
        <w:t>%</w:t>
      </w:r>
      <w:r>
        <w:rPr>
          <w:rFonts w:hint="default" w:ascii="FreeSerif" w:hAnsi="FreeSerif" w:eastAsia="方正仿宋_GBK" w:cs="FreeSerif"/>
          <w:snapToGrid/>
          <w:kern w:val="2"/>
          <w:sz w:val="32"/>
          <w:szCs w:val="32"/>
          <w:lang w:val="en-US" w:eastAsia="zh-CN" w:bidi="ar"/>
        </w:rPr>
        <w:t>以上，畜禽粪污综合利用率稳定在85</w:t>
      </w:r>
      <w:r>
        <w:rPr>
          <w:rFonts w:hint="default" w:ascii="FreeSerif" w:hAnsi="FreeSerif" w:eastAsia="CESI楷体-GB13000" w:cs="FreeSerif"/>
          <w:snapToGrid/>
          <w:kern w:val="2"/>
          <w:sz w:val="32"/>
          <w:szCs w:val="32"/>
          <w:lang w:val="en-US" w:eastAsia="zh-CN" w:bidi="ar"/>
        </w:rPr>
        <w:t>%</w:t>
      </w:r>
      <w:r>
        <w:rPr>
          <w:rFonts w:hint="default" w:ascii="FreeSerif" w:hAnsi="FreeSerif" w:eastAsia="方正仿宋_GBK" w:cs="FreeSerif"/>
          <w:snapToGrid/>
          <w:kern w:val="2"/>
          <w:sz w:val="32"/>
          <w:szCs w:val="32"/>
          <w:lang w:val="en-US" w:eastAsia="zh-CN" w:bidi="ar"/>
        </w:rPr>
        <w:t>以上。加强畜禽养殖污染环境监管，落实畜禽规模养殖场环境影响评价及排污许可制度，严格规模化养殖企业监管，对无证排污、不按证排污、污染防治设施配套不到位、粪污未经无害化处理直接还田或向环境排放，或不符合国家和地方排放标准的，要依法查处。推动畜禽规模养殖场配备视频监控设施，防止粪污偷运偷排。依法严查畜禽粪污偷排、直排、丢弃等环境违法行为。</w:t>
      </w:r>
      <w:r>
        <w:rPr>
          <w:rFonts w:hint="default" w:ascii="FreeSerif" w:hAnsi="FreeSerif" w:eastAsia="方正楷体_GBK" w:cs="FreeSerif"/>
          <w:b w:val="0"/>
          <w:snapToGrid/>
          <w:kern w:val="2"/>
          <w:sz w:val="32"/>
          <w:szCs w:val="32"/>
          <w:lang w:val="en-US" w:eastAsia="zh-CN" w:bidi="ar"/>
        </w:rPr>
        <w:t>（市生态环境局、市农业农村局、市畜牧业发展服务中心按职责分工负责）</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楷体_GBK" w:cs="FreeSerif"/>
          <w:b w:val="0"/>
          <w:kern w:val="2"/>
          <w:sz w:val="32"/>
          <w:szCs w:val="32"/>
        </w:rPr>
      </w:pPr>
      <w:r>
        <w:rPr>
          <w:rFonts w:hint="default" w:ascii="FreeSerif" w:hAnsi="FreeSerif" w:eastAsia="方正仿宋_GBK" w:cs="FreeSerif"/>
          <w:snapToGrid/>
          <w:kern w:val="2"/>
          <w:sz w:val="32"/>
          <w:szCs w:val="32"/>
          <w:lang w:val="en-US" w:eastAsia="zh-CN" w:bidi="ar"/>
        </w:rPr>
        <w:t>强化农业面源污染监测。开展洮儿河等灌区农田灌溉用水监测，10万亩以上农田灌区灌溉用水水质监测实行每年2次。</w:t>
      </w:r>
      <w:r>
        <w:rPr>
          <w:rFonts w:hint="default" w:ascii="FreeSerif" w:hAnsi="FreeSerif" w:eastAsia="方正楷体_GBK" w:cs="FreeSerif"/>
          <w:b w:val="0"/>
          <w:snapToGrid/>
          <w:kern w:val="2"/>
          <w:sz w:val="32"/>
          <w:szCs w:val="32"/>
          <w:lang w:val="en-US" w:eastAsia="zh-CN" w:bidi="ar"/>
        </w:rPr>
        <w:t>（市农业农村局、市生态环境局按职责分工负责）</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仿宋_GBK" w:cs="FreeSerif"/>
          <w:b w:val="0"/>
          <w:kern w:val="2"/>
          <w:sz w:val="32"/>
          <w:szCs w:val="32"/>
        </w:rPr>
      </w:pPr>
      <w:r>
        <w:rPr>
          <w:rFonts w:hint="default" w:ascii="FreeSerif" w:hAnsi="FreeSerif" w:eastAsia="方正仿宋_GBK" w:cs="FreeSerif"/>
          <w:b w:val="0"/>
          <w:snapToGrid/>
          <w:kern w:val="2"/>
          <w:sz w:val="32"/>
          <w:szCs w:val="32"/>
          <w:lang w:val="en-US" w:eastAsia="zh-CN" w:bidi="ar"/>
        </w:rPr>
        <w:t>3．推进农村生活污水治理。</w:t>
      </w:r>
    </w:p>
    <w:p>
      <w:pPr>
        <w:pStyle w:val="10"/>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楷体_GBK" w:cs="FreeSerif"/>
          <w:b w:val="0"/>
          <w:kern w:val="2"/>
          <w:sz w:val="32"/>
          <w:szCs w:val="32"/>
        </w:rPr>
      </w:pPr>
      <w:r>
        <w:rPr>
          <w:rFonts w:hint="default" w:ascii="FreeSerif" w:hAnsi="FreeSerif" w:eastAsia="方正仿宋_GBK" w:cs="FreeSerif"/>
          <w:snapToGrid/>
          <w:kern w:val="2"/>
          <w:sz w:val="32"/>
          <w:szCs w:val="32"/>
          <w:lang w:val="en-US" w:eastAsia="zh-CN" w:bidi="ar"/>
        </w:rPr>
        <w:t>突出重点区域治理。突出重点区域治理。优先围绕城乡结合部、乡镇政府驻地、中心村、重点村、环境敏感区等区域，分区分类、梯次推进农村生活污水治理。加快推进乡村旅游重点村生活污水治理，助推乡村旅游高质量发展。加强农村生活污水治理与厕所革命衔接，积极推进厕所粪污无害处理和资源化利用。到2025年，全市农村生活污水治理率达到25</w:t>
      </w:r>
      <w:r>
        <w:rPr>
          <w:rFonts w:hint="default" w:ascii="FreeSerif" w:hAnsi="FreeSerif" w:eastAsia="CESI楷体-GB13000" w:cs="FreeSerif"/>
          <w:snapToGrid/>
          <w:kern w:val="2"/>
          <w:sz w:val="32"/>
          <w:szCs w:val="32"/>
          <w:lang w:val="en-US" w:eastAsia="zh-CN" w:bidi="ar"/>
        </w:rPr>
        <w:t>%</w:t>
      </w:r>
      <w:r>
        <w:rPr>
          <w:rFonts w:hint="default" w:ascii="FreeSerif" w:hAnsi="FreeSerif" w:eastAsia="方正仿宋_GBK" w:cs="FreeSerif"/>
          <w:snapToGrid/>
          <w:kern w:val="2"/>
          <w:sz w:val="32"/>
          <w:szCs w:val="32"/>
          <w:lang w:val="en-US" w:eastAsia="zh-CN" w:bidi="ar"/>
        </w:rPr>
        <w:t>，重点旅游村生活污水收集治理率达到100</w:t>
      </w:r>
      <w:r>
        <w:rPr>
          <w:rFonts w:hint="default" w:ascii="FreeSerif" w:hAnsi="FreeSerif" w:eastAsia="CESI楷体-GB13000" w:cs="FreeSerif"/>
          <w:snapToGrid/>
          <w:kern w:val="2"/>
          <w:sz w:val="32"/>
          <w:szCs w:val="32"/>
          <w:lang w:val="en-US" w:eastAsia="zh-CN" w:bidi="ar"/>
        </w:rPr>
        <w:t>%</w:t>
      </w:r>
      <w:r>
        <w:rPr>
          <w:rFonts w:hint="default" w:ascii="FreeSerif" w:hAnsi="FreeSerif" w:eastAsia="方正仿宋_GBK" w:cs="FreeSerif"/>
          <w:snapToGrid/>
          <w:kern w:val="2"/>
          <w:sz w:val="32"/>
          <w:szCs w:val="32"/>
          <w:lang w:val="en-US" w:eastAsia="zh-CN" w:bidi="ar"/>
        </w:rPr>
        <w:t>。</w:t>
      </w:r>
      <w:r>
        <w:rPr>
          <w:rFonts w:hint="default" w:ascii="FreeSerif" w:hAnsi="FreeSerif" w:eastAsia="方正楷体_GBK" w:cs="FreeSerif"/>
          <w:b w:val="0"/>
          <w:snapToGrid/>
          <w:kern w:val="2"/>
          <w:sz w:val="32"/>
          <w:szCs w:val="32"/>
          <w:lang w:val="en-US" w:eastAsia="zh-CN" w:bidi="ar"/>
        </w:rPr>
        <w:t>（市生态环境局、市农业农村局、市发改委、市住建局、市文广旅局、市乡村振兴局等按职责分工负责）</w:t>
      </w:r>
    </w:p>
    <w:p>
      <w:pPr>
        <w:pStyle w:val="10"/>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楷体_GBK" w:cs="FreeSerif"/>
          <w:b w:val="0"/>
          <w:kern w:val="2"/>
          <w:sz w:val="32"/>
          <w:szCs w:val="32"/>
        </w:rPr>
      </w:pPr>
      <w:r>
        <w:rPr>
          <w:rFonts w:hint="default" w:ascii="FreeSerif" w:hAnsi="FreeSerif" w:eastAsia="方正仿宋_GBK" w:cs="FreeSerif"/>
          <w:snapToGrid/>
          <w:kern w:val="2"/>
          <w:sz w:val="32"/>
          <w:szCs w:val="32"/>
          <w:lang w:val="en-US" w:eastAsia="zh-CN" w:bidi="ar"/>
        </w:rPr>
        <w:t>规范农村生活污水治理设施建设运行。因地制宜选取符合农村实际的生活污水治理模式，确定完成时限，达到经济适用、运行可靠的效果。对已建设的污水治理设施，明确管理主体和运维单位，健全运行维护机制，保障设施建设和运行质量。开展农村生活污水处理设施运行情况排查评估、农村生活污水治理成效评估。（</w:t>
      </w:r>
      <w:r>
        <w:rPr>
          <w:rFonts w:hint="default" w:ascii="FreeSerif" w:hAnsi="FreeSerif" w:eastAsia="方正楷体_GBK" w:cs="FreeSerif"/>
          <w:b w:val="0"/>
          <w:snapToGrid/>
          <w:kern w:val="2"/>
          <w:sz w:val="32"/>
          <w:szCs w:val="32"/>
          <w:lang w:val="en-US" w:eastAsia="zh-CN" w:bidi="ar"/>
        </w:rPr>
        <w:t>市生态环境局、市住建局、市乡村振兴局等按职责分工负责</w:t>
      </w:r>
      <w:r>
        <w:rPr>
          <w:rFonts w:hint="default" w:ascii="FreeSerif" w:hAnsi="FreeSerif" w:eastAsia="方正仿宋_GBK" w:cs="FreeSerif"/>
          <w:snapToGrid/>
          <w:kern w:val="2"/>
          <w:sz w:val="32"/>
          <w:szCs w:val="32"/>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仿宋_GBK" w:cs="FreeSerif"/>
          <w:b w:val="0"/>
          <w:kern w:val="2"/>
          <w:sz w:val="32"/>
          <w:szCs w:val="32"/>
        </w:rPr>
      </w:pPr>
      <w:r>
        <w:rPr>
          <w:rFonts w:hint="default" w:ascii="FreeSerif" w:hAnsi="FreeSerif" w:eastAsia="方正仿宋_GBK" w:cs="FreeSerif"/>
          <w:b w:val="0"/>
          <w:snapToGrid/>
          <w:kern w:val="2"/>
          <w:sz w:val="32"/>
          <w:szCs w:val="32"/>
          <w:lang w:val="en-US" w:eastAsia="zh-CN" w:bidi="ar"/>
        </w:rPr>
        <w:t>4．推进农村黑臭水体整治。</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楷体_GBK" w:cs="FreeSerif"/>
          <w:b w:val="0"/>
          <w:kern w:val="2"/>
          <w:sz w:val="32"/>
          <w:szCs w:val="32"/>
        </w:rPr>
      </w:pPr>
      <w:r>
        <w:rPr>
          <w:rFonts w:hint="default" w:ascii="FreeSerif" w:hAnsi="FreeSerif" w:eastAsia="方正仿宋_GBK" w:cs="FreeSerif"/>
          <w:snapToGrid/>
          <w:kern w:val="2"/>
          <w:sz w:val="32"/>
          <w:szCs w:val="32"/>
          <w:lang w:val="en-US" w:eastAsia="zh-CN" w:bidi="ar"/>
        </w:rPr>
        <w:t>建立农村黑臭水体监管清单，实施控源截污、清淤疏浚、生态修复、水体净化等措施，科学开展整治，</w:t>
      </w:r>
      <w:r>
        <w:rPr>
          <w:rFonts w:hint="eastAsia" w:ascii="方正仿宋_GBK" w:hAnsi="方正仿宋_GBK" w:eastAsia="方正仿宋_GBK" w:cs="方正仿宋_GBK"/>
          <w:snapToGrid/>
          <w:kern w:val="2"/>
          <w:sz w:val="32"/>
          <w:szCs w:val="32"/>
          <w:lang w:val="en-US" w:eastAsia="zh-CN" w:bidi="ar"/>
        </w:rPr>
        <w:t>并“拉条挂账，逐一销号”。对完成治理的黑臭水体进行监测评估，积累农村黑臭水体治理经验与模式。建立动态排查机制，将新发现的农村黑臭水体或返黑返臭的水体及时纳入监管平台。充分发挥河湖长制作用，促进黑臭水体有效治理和长期管护。各县</w:t>
      </w:r>
      <w:r>
        <w:rPr>
          <w:rFonts w:hint="eastAsia" w:ascii="方正仿宋_GBK" w:hAnsi="方正仿宋_GBK" w:eastAsia="方正仿宋_GBK" w:cs="方正仿宋_GBK"/>
          <w:b w:val="0"/>
          <w:snapToGrid/>
          <w:kern w:val="2"/>
          <w:sz w:val="32"/>
          <w:szCs w:val="32"/>
          <w:lang w:val="en-US" w:eastAsia="zh-CN" w:bidi="ar"/>
        </w:rPr>
        <w:t>（</w:t>
      </w:r>
      <w:r>
        <w:rPr>
          <w:rFonts w:hint="default" w:ascii="FreeSerif" w:hAnsi="FreeSerif" w:eastAsia="方正仿宋_GBK" w:cs="FreeSerif"/>
          <w:snapToGrid/>
          <w:kern w:val="2"/>
          <w:sz w:val="32"/>
          <w:szCs w:val="32"/>
          <w:lang w:val="en-US" w:eastAsia="zh-CN" w:bidi="ar"/>
        </w:rPr>
        <w:t>市、区）公开农村黑臭水体排查结果和整治成效，鼓励村民参与和公众监督举报。到2025年年底，全市农村黑臭水体整治率达到80</w:t>
      </w:r>
      <w:r>
        <w:rPr>
          <w:rFonts w:hint="default" w:ascii="FreeSerif" w:hAnsi="FreeSerif" w:eastAsia="CESI楷体-GB13000" w:cs="FreeSerif"/>
          <w:snapToGrid/>
          <w:kern w:val="2"/>
          <w:sz w:val="32"/>
          <w:szCs w:val="32"/>
          <w:lang w:val="en-US" w:eastAsia="zh-CN" w:bidi="ar"/>
        </w:rPr>
        <w:t>％</w:t>
      </w:r>
      <w:r>
        <w:rPr>
          <w:rFonts w:hint="default" w:ascii="FreeSerif" w:hAnsi="FreeSerif" w:eastAsia="方正仿宋_GBK" w:cs="FreeSerif"/>
          <w:snapToGrid/>
          <w:kern w:val="2"/>
          <w:sz w:val="32"/>
          <w:szCs w:val="32"/>
          <w:lang w:val="en-US" w:eastAsia="zh-CN" w:bidi="ar"/>
        </w:rPr>
        <w:t>。（基本消除较大面积农村黑臭水体）。</w:t>
      </w:r>
      <w:r>
        <w:rPr>
          <w:rFonts w:hint="default" w:ascii="FreeSerif" w:hAnsi="FreeSerif" w:eastAsia="方正楷体_GBK" w:cs="FreeSerif"/>
          <w:b w:val="0"/>
          <w:snapToGrid/>
          <w:kern w:val="2"/>
          <w:sz w:val="32"/>
          <w:szCs w:val="32"/>
          <w:lang w:val="en-US" w:eastAsia="zh-CN" w:bidi="ar"/>
        </w:rPr>
        <w:t>（市生态环境局、市水利局、市农业农村局、市乡村振兴局等按职责分工负责）</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仿宋_GBK" w:cs="FreeSerif"/>
          <w:b w:val="0"/>
          <w:kern w:val="2"/>
          <w:sz w:val="32"/>
          <w:szCs w:val="32"/>
        </w:rPr>
      </w:pPr>
      <w:r>
        <w:rPr>
          <w:rFonts w:hint="default" w:ascii="FreeSerif" w:hAnsi="FreeSerif" w:eastAsia="方正仿宋_GBK" w:cs="FreeSerif"/>
          <w:b w:val="0"/>
          <w:snapToGrid/>
          <w:kern w:val="2"/>
          <w:sz w:val="32"/>
          <w:szCs w:val="32"/>
          <w:lang w:val="en-US" w:eastAsia="zh-CN" w:bidi="ar"/>
        </w:rPr>
        <w:t>5．提升农村生活垃圾处理处置水平。</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楷体_GBK" w:cs="FreeSerif"/>
          <w:b w:val="0"/>
          <w:kern w:val="2"/>
          <w:sz w:val="32"/>
          <w:szCs w:val="32"/>
        </w:rPr>
      </w:pPr>
      <w:r>
        <w:rPr>
          <w:rFonts w:hint="default" w:ascii="FreeSerif" w:hAnsi="FreeSerif" w:eastAsia="方正仿宋_GBK" w:cs="FreeSerif"/>
          <w:snapToGrid/>
          <w:kern w:val="2"/>
          <w:sz w:val="32"/>
          <w:szCs w:val="32"/>
          <w:lang w:val="en-US" w:eastAsia="zh-CN" w:bidi="ar"/>
        </w:rPr>
        <w:t>多措并举宣传推进农村生活垃圾分类及资源化利用。构建</w:t>
      </w:r>
      <w:r>
        <w:rPr>
          <w:rFonts w:hint="eastAsia" w:ascii="方正仿宋_GBK" w:hAnsi="方正仿宋_GBK" w:eastAsia="方正仿宋_GBK" w:cs="方正仿宋_GBK"/>
          <w:snapToGrid/>
          <w:kern w:val="2"/>
          <w:sz w:val="32"/>
          <w:szCs w:val="32"/>
          <w:lang w:val="en-US" w:eastAsia="zh-CN" w:bidi="ar"/>
        </w:rPr>
        <w:t>“政府主导、企业主体、全民参与”垃圾分类体</w:t>
      </w:r>
      <w:r>
        <w:rPr>
          <w:rFonts w:hint="default" w:ascii="FreeSerif" w:hAnsi="FreeSerif" w:eastAsia="方正仿宋_GBK" w:cs="FreeSerif"/>
          <w:snapToGrid/>
          <w:kern w:val="2"/>
          <w:sz w:val="32"/>
          <w:szCs w:val="32"/>
          <w:lang w:val="en-US" w:eastAsia="zh-CN" w:bidi="ar"/>
        </w:rPr>
        <w:t>系，引导村民分类投放，推动有条件的地方开展农村生活垃圾分类减量先行先试，积极探索符合农村特点和农民习惯、简便易行的分类处理模式，实现源头减量。提升农村生活垃圾水平。协同推进农村生活垃圾、厕所粪污、畜禽粪污等农业生产废弃物资源化处理和综合利用。</w:t>
      </w:r>
      <w:r>
        <w:rPr>
          <w:rFonts w:hint="default" w:ascii="FreeSerif" w:hAnsi="FreeSerif" w:eastAsia="方正楷体_GBK" w:cs="FreeSerif"/>
          <w:b w:val="0"/>
          <w:snapToGrid/>
          <w:kern w:val="2"/>
          <w:sz w:val="32"/>
          <w:szCs w:val="32"/>
          <w:lang w:val="en-US" w:eastAsia="zh-CN" w:bidi="ar"/>
        </w:rPr>
        <w:t>（市农业农村局、市住建局、市发改委、市生态环境局、市乡村振兴局、市供销社等按职责分工负责）</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楷体_GBK" w:cs="FreeSerif"/>
          <w:b w:val="0"/>
          <w:kern w:val="2"/>
          <w:sz w:val="32"/>
          <w:szCs w:val="32"/>
        </w:rPr>
      </w:pPr>
      <w:r>
        <w:rPr>
          <w:rFonts w:hint="default" w:ascii="FreeSerif" w:hAnsi="FreeSerif" w:eastAsia="方正仿宋_GBK" w:cs="FreeSerif"/>
          <w:snapToGrid/>
          <w:kern w:val="2"/>
          <w:sz w:val="32"/>
          <w:szCs w:val="32"/>
          <w:lang w:val="en-US" w:eastAsia="zh-CN" w:bidi="ar"/>
        </w:rPr>
        <w:t>健全收运处置体系。加强农村生活垃圾治理，加快建设生活垃圾分类投放、分类收集、分类运输和分类处置设施，健全农村生活垃圾收运处置体系，实现自然村（组）基本覆盖，逐步提高无害化处理水平。优化垃圾收运处置设施布局，完善县城生活垃圾处理系统，推进城乡环卫一体化。分区分类选择收运处置模式，推进厨余垃圾处理设施建设。</w:t>
      </w:r>
      <w:r>
        <w:rPr>
          <w:rFonts w:hint="default" w:ascii="FreeSerif" w:hAnsi="FreeSerif" w:eastAsia="方正楷体_GBK" w:cs="FreeSerif"/>
          <w:b w:val="0"/>
          <w:snapToGrid/>
          <w:kern w:val="2"/>
          <w:sz w:val="32"/>
          <w:szCs w:val="32"/>
          <w:lang w:val="en-US" w:eastAsia="zh-CN" w:bidi="ar"/>
        </w:rPr>
        <w:t>（市住建局、市农业农村局按职责分工负责）</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580" w:lineRule="exact"/>
        <w:ind w:left="0" w:leftChars="0" w:right="0" w:firstLine="640" w:firstLineChars="200"/>
        <w:jc w:val="both"/>
        <w:textAlignment w:val="auto"/>
        <w:rPr>
          <w:rFonts w:hint="default" w:ascii="FreeSerif" w:hAnsi="FreeSerif" w:eastAsia="方正楷体_GBK" w:cs="FreeSerif"/>
          <w:b w:val="0"/>
          <w:kern w:val="2"/>
          <w:sz w:val="32"/>
          <w:szCs w:val="32"/>
        </w:rPr>
      </w:pPr>
      <w:r>
        <w:rPr>
          <w:rFonts w:hint="default" w:ascii="FreeSerif" w:hAnsi="FreeSerif" w:eastAsia="方正仿宋_GBK" w:cs="FreeSerif"/>
          <w:snapToGrid/>
          <w:kern w:val="2"/>
          <w:sz w:val="32"/>
          <w:szCs w:val="32"/>
          <w:lang w:val="en-US" w:eastAsia="zh-CN" w:bidi="ar"/>
        </w:rPr>
        <w:t>健全农村生活垃圾治理体系。加大农村生活垃圾村庄清扫保洁力度，构建保洁长效机制。优化收运处置设施设备布局，合理确定运输频次和运输路线，减少垃圾收运处置时间，缩短垃圾运输距离，提高垃圾收运处置效率，强化运行管理水平。</w:t>
      </w:r>
      <w:r>
        <w:rPr>
          <w:rFonts w:hint="default" w:ascii="FreeSerif" w:hAnsi="FreeSerif" w:eastAsia="方正楷体_GBK" w:cs="FreeSerif"/>
          <w:b w:val="0"/>
          <w:snapToGrid/>
          <w:kern w:val="2"/>
          <w:sz w:val="32"/>
          <w:szCs w:val="32"/>
          <w:lang w:val="en-US" w:eastAsia="zh-CN" w:bidi="ar"/>
        </w:rPr>
        <w:t>（市农业农村局、市住建局、市乡村振兴局等按职责分工负责）</w:t>
      </w:r>
    </w:p>
    <w:tbl>
      <w:tblPr>
        <w:tblStyle w:val="11"/>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714"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widowControl w:val="0"/>
              <w:suppressLineNumbers w:val="0"/>
              <w:autoSpaceDE w:val="0"/>
              <w:autoSpaceDN/>
              <w:adjustRightInd w:val="0"/>
              <w:snapToGrid w:val="0"/>
              <w:spacing w:before="0" w:beforeAutospacing="0" w:after="0" w:afterAutospacing="0" w:line="0" w:lineRule="atLeast"/>
              <w:ind w:left="0" w:right="0" w:firstLine="0" w:firstLineChars="0"/>
              <w:jc w:val="center"/>
              <w:rPr>
                <w:rFonts w:hint="default" w:ascii="FreeSerif" w:hAnsi="FreeSerif" w:eastAsia="仿宋" w:cs="FreeSerif"/>
                <w:b w:val="0"/>
                <w:spacing w:val="0"/>
                <w:kern w:val="2"/>
                <w:sz w:val="24"/>
                <w:szCs w:val="24"/>
              </w:rPr>
            </w:pPr>
            <w:r>
              <w:rPr>
                <w:rFonts w:hint="default" w:ascii="FreeSerif" w:hAnsi="FreeSerif" w:eastAsia="方正黑体_GBK" w:cs="FreeSerif"/>
                <w:b w:val="0"/>
                <w:snapToGrid/>
                <w:spacing w:val="0"/>
                <w:kern w:val="2"/>
                <w:sz w:val="24"/>
                <w:szCs w:val="24"/>
                <w:lang w:val="en-US" w:eastAsia="zh-CN" w:bidi="ar"/>
              </w:rPr>
              <w:t>专栏3  农业农村生态环境保护重点工程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8714" w:type="dxa"/>
            <w:tcBorders>
              <w:top w:val="single" w:color="auto" w:sz="4" w:space="0"/>
              <w:left w:val="single" w:color="auto" w:sz="4" w:space="0"/>
              <w:bottom w:val="single" w:color="auto" w:sz="4" w:space="0"/>
              <w:right w:val="single" w:color="auto" w:sz="4" w:space="0"/>
            </w:tcBorders>
            <w:noWrap w:val="0"/>
            <w:vAlign w:val="top"/>
          </w:tcPr>
          <w:p>
            <w:pPr>
              <w:pStyle w:val="10"/>
              <w:keepNext w:val="0"/>
              <w:keepLines w:val="0"/>
              <w:widowControl w:val="0"/>
              <w:suppressLineNumbers w:val="0"/>
              <w:overflowPunct w:val="0"/>
              <w:autoSpaceDE w:val="0"/>
              <w:autoSpaceDN/>
              <w:adjustRightInd w:val="0"/>
              <w:snapToGrid w:val="0"/>
              <w:spacing w:before="0" w:beforeAutospacing="0" w:after="0" w:afterAutospacing="0" w:line="0" w:lineRule="atLeast"/>
              <w:ind w:left="0" w:leftChars="0" w:right="0" w:firstLine="420" w:firstLineChars="200"/>
              <w:jc w:val="both"/>
              <w:rPr>
                <w:rFonts w:hint="default" w:ascii="FreeSerif" w:hAnsi="FreeSerif" w:eastAsia="宋体" w:cs="FreeSerif"/>
                <w:b w:val="0"/>
                <w:spacing w:val="0"/>
                <w:kern w:val="2"/>
                <w:sz w:val="21"/>
                <w:szCs w:val="21"/>
              </w:rPr>
            </w:pPr>
            <w:r>
              <w:rPr>
                <w:rFonts w:hint="default" w:ascii="FreeSerif" w:hAnsi="FreeSerif" w:eastAsia="方正楷体_GBK" w:cs="FreeSerif"/>
                <w:b w:val="0"/>
                <w:snapToGrid/>
                <w:spacing w:val="0"/>
                <w:kern w:val="2"/>
                <w:sz w:val="21"/>
                <w:szCs w:val="21"/>
                <w:lang w:val="en-US" w:eastAsia="zh-CN" w:bidi="ar"/>
              </w:rPr>
              <w:t>农村环境整治。</w:t>
            </w:r>
            <w:r>
              <w:rPr>
                <w:rFonts w:hint="default" w:ascii="FreeSerif" w:hAnsi="FreeSerif" w:eastAsia="方正仿宋_GBK" w:cs="FreeSerif"/>
                <w:b w:val="0"/>
                <w:snapToGrid/>
                <w:spacing w:val="0"/>
                <w:kern w:val="2"/>
                <w:sz w:val="21"/>
                <w:szCs w:val="21"/>
                <w:lang w:val="en-US" w:eastAsia="zh-CN" w:bidi="ar"/>
              </w:rPr>
              <w:t>以农村饮用水源保护，生活污水、黑臭水体、生活垃圾治理为主，到2025年，完成151个行政村农村环境整治。</w:t>
            </w:r>
          </w:p>
          <w:p>
            <w:pPr>
              <w:pStyle w:val="10"/>
              <w:keepNext w:val="0"/>
              <w:keepLines w:val="0"/>
              <w:widowControl w:val="0"/>
              <w:suppressLineNumbers w:val="0"/>
              <w:overflowPunct w:val="0"/>
              <w:autoSpaceDE w:val="0"/>
              <w:autoSpaceDN/>
              <w:adjustRightInd w:val="0"/>
              <w:snapToGrid w:val="0"/>
              <w:spacing w:before="0" w:beforeAutospacing="0" w:after="0" w:afterAutospacing="0" w:line="0" w:lineRule="atLeast"/>
              <w:ind w:left="0" w:leftChars="0" w:right="0" w:firstLine="420" w:firstLineChars="200"/>
              <w:jc w:val="both"/>
              <w:rPr>
                <w:rFonts w:hint="default" w:ascii="FreeSerif" w:hAnsi="FreeSerif" w:eastAsia="宋体" w:cs="FreeSerif"/>
                <w:b w:val="0"/>
                <w:spacing w:val="0"/>
                <w:kern w:val="2"/>
                <w:sz w:val="21"/>
                <w:szCs w:val="21"/>
              </w:rPr>
            </w:pPr>
            <w:r>
              <w:rPr>
                <w:rFonts w:hint="default" w:ascii="FreeSerif" w:hAnsi="FreeSerif" w:eastAsia="方正楷体_GBK" w:cs="FreeSerif"/>
                <w:b w:val="0"/>
                <w:snapToGrid/>
                <w:spacing w:val="0"/>
                <w:kern w:val="2"/>
                <w:sz w:val="21"/>
                <w:szCs w:val="21"/>
                <w:lang w:val="en-US" w:eastAsia="zh-CN" w:bidi="ar"/>
              </w:rPr>
              <w:t>农村饮用水水源地保护。</w:t>
            </w:r>
            <w:r>
              <w:rPr>
                <w:rFonts w:hint="default" w:ascii="FreeSerif" w:hAnsi="FreeSerif" w:eastAsia="方正仿宋_GBK" w:cs="FreeSerif"/>
                <w:b w:val="0"/>
                <w:snapToGrid/>
                <w:spacing w:val="0"/>
                <w:kern w:val="2"/>
                <w:sz w:val="21"/>
                <w:szCs w:val="21"/>
                <w:lang w:val="en-US" w:eastAsia="zh-CN" w:bidi="ar"/>
              </w:rPr>
              <w:t>开展水源地环境风险排查整治，到2025年年底，完成“千吨万人”饮用水水源地环境整治任务。</w:t>
            </w:r>
          </w:p>
          <w:p>
            <w:pPr>
              <w:pStyle w:val="10"/>
              <w:keepNext w:val="0"/>
              <w:keepLines w:val="0"/>
              <w:widowControl w:val="0"/>
              <w:suppressLineNumbers w:val="0"/>
              <w:overflowPunct w:val="0"/>
              <w:autoSpaceDE w:val="0"/>
              <w:autoSpaceDN/>
              <w:adjustRightInd w:val="0"/>
              <w:snapToGrid w:val="0"/>
              <w:spacing w:before="0" w:beforeAutospacing="0" w:after="0" w:afterAutospacing="0" w:line="0" w:lineRule="atLeast"/>
              <w:ind w:left="0" w:leftChars="0" w:right="0" w:firstLine="420" w:firstLineChars="200"/>
              <w:jc w:val="both"/>
              <w:rPr>
                <w:rFonts w:hint="default" w:ascii="FreeSerif" w:hAnsi="FreeSerif" w:eastAsia="宋体" w:cs="FreeSerif"/>
                <w:b w:val="0"/>
                <w:spacing w:val="0"/>
                <w:kern w:val="2"/>
                <w:sz w:val="24"/>
                <w:szCs w:val="24"/>
              </w:rPr>
            </w:pPr>
            <w:r>
              <w:rPr>
                <w:rFonts w:hint="default" w:ascii="FreeSerif" w:hAnsi="FreeSerif" w:eastAsia="方正楷体_GBK" w:cs="FreeSerif"/>
                <w:b w:val="0"/>
                <w:snapToGrid/>
                <w:spacing w:val="0"/>
                <w:kern w:val="2"/>
                <w:sz w:val="21"/>
                <w:szCs w:val="21"/>
                <w:lang w:val="en-US" w:eastAsia="zh-CN" w:bidi="ar"/>
              </w:rPr>
              <w:t>农村生活污水治理。</w:t>
            </w:r>
            <w:r>
              <w:rPr>
                <w:rFonts w:hint="default" w:ascii="FreeSerif" w:hAnsi="FreeSerif" w:eastAsia="方正仿宋_GBK" w:cs="FreeSerif"/>
                <w:b w:val="0"/>
                <w:snapToGrid/>
                <w:spacing w:val="0"/>
                <w:kern w:val="2"/>
                <w:sz w:val="21"/>
                <w:szCs w:val="21"/>
                <w:lang w:val="en-US" w:eastAsia="zh-CN" w:bidi="ar"/>
              </w:rPr>
              <w:t>优先治理重点区域农村生活污水，到2025年，我市农村生活污水治理率达到25</w:t>
            </w:r>
            <w:r>
              <w:rPr>
                <w:rFonts w:hint="default" w:ascii="FreeSerif" w:hAnsi="FreeSerif" w:eastAsia="CESI楷体-GB13000" w:cs="FreeSerif"/>
                <w:b w:val="0"/>
                <w:snapToGrid/>
                <w:spacing w:val="0"/>
                <w:kern w:val="2"/>
                <w:sz w:val="21"/>
                <w:szCs w:val="21"/>
                <w:lang w:val="en-US" w:eastAsia="zh-CN" w:bidi="ar"/>
              </w:rPr>
              <w:t>%</w:t>
            </w:r>
            <w:r>
              <w:rPr>
                <w:rFonts w:hint="default" w:ascii="FreeSerif" w:hAnsi="FreeSerif" w:eastAsia="方正仿宋_GBK" w:cs="FreeSerif"/>
                <w:b w:val="0"/>
                <w:snapToGrid/>
                <w:spacing w:val="0"/>
                <w:kern w:val="2"/>
                <w:sz w:val="21"/>
                <w:szCs w:val="21"/>
                <w:lang w:val="en-US" w:eastAsia="zh-CN" w:bidi="ar"/>
              </w:rPr>
              <w:t>，重点旅游村生活污水收集治理率达到100</w:t>
            </w:r>
            <w:r>
              <w:rPr>
                <w:rFonts w:hint="default" w:ascii="FreeSerif" w:hAnsi="FreeSerif" w:eastAsia="CESI楷体-GB13000" w:cs="FreeSerif"/>
                <w:b w:val="0"/>
                <w:snapToGrid/>
                <w:spacing w:val="0"/>
                <w:kern w:val="2"/>
                <w:sz w:val="21"/>
                <w:szCs w:val="21"/>
                <w:lang w:val="en-US" w:eastAsia="zh-CN" w:bidi="ar"/>
              </w:rPr>
              <w:t>%</w:t>
            </w:r>
            <w:r>
              <w:rPr>
                <w:rFonts w:hint="default" w:ascii="FreeSerif" w:hAnsi="FreeSerif" w:eastAsia="方正仿宋_GBK" w:cs="FreeSerif"/>
                <w:b w:val="0"/>
                <w:snapToGrid/>
                <w:spacing w:val="0"/>
                <w:kern w:val="2"/>
                <w:sz w:val="21"/>
                <w:szCs w:val="21"/>
                <w:lang w:val="en-US" w:eastAsia="zh-CN" w:bidi="ar"/>
              </w:rPr>
              <w:t>。</w:t>
            </w:r>
          </w:p>
        </w:tc>
      </w:tr>
    </w:tbl>
    <w:p>
      <w:pPr>
        <w:pStyle w:val="4"/>
        <w:keepNext w:val="0"/>
        <w:keepLines w:val="0"/>
        <w:pageBreakBefore w:val="0"/>
        <w:widowControl w:val="0"/>
        <w:suppressLineNumbers w:val="0"/>
        <w:kinsoku/>
        <w:wordWrap/>
        <w:overflowPunct w:val="0"/>
        <w:topLinePunct w:val="0"/>
        <w:autoSpaceDE w:val="0"/>
        <w:autoSpaceDN/>
        <w:bidi w:val="0"/>
        <w:adjustRightInd w:val="0"/>
        <w:snapToGrid w:val="0"/>
        <w:spacing w:line="580" w:lineRule="exact"/>
        <w:ind w:left="0" w:leftChars="0" w:firstLine="640" w:firstLineChars="200"/>
        <w:jc w:val="both"/>
        <w:textAlignment w:val="auto"/>
        <w:outlineLvl w:val="1"/>
        <w:rPr>
          <w:rFonts w:hint="default" w:ascii="FreeSerif" w:hAnsi="FreeSerif" w:eastAsia="方正仿宋_GBK" w:cs="FreeSerif"/>
          <w:b w:val="0"/>
          <w:bCs w:val="0"/>
          <w:kern w:val="2"/>
          <w:sz w:val="32"/>
          <w:szCs w:val="32"/>
        </w:rPr>
      </w:pPr>
      <w:bookmarkStart w:id="12" w:name="_Toc510437093"/>
      <w:r>
        <w:rPr>
          <w:rFonts w:hint="default" w:ascii="FreeSerif" w:hAnsi="FreeSerif" w:eastAsia="方正楷体_GBK" w:cs="FreeSerif"/>
          <w:b w:val="0"/>
          <w:kern w:val="0"/>
          <w:sz w:val="32"/>
          <w:szCs w:val="32"/>
        </w:rPr>
        <w:t>（四）提升生态环境监管能力</w:t>
      </w:r>
      <w:bookmarkEnd w:id="12"/>
      <w:r>
        <w:rPr>
          <w:rFonts w:hint="default" w:ascii="FreeSerif" w:hAnsi="FreeSerif" w:eastAsia="方正楷体_GBK" w:cs="FreeSerif"/>
          <w:b w:val="0"/>
          <w:kern w:val="0"/>
          <w:sz w:val="32"/>
          <w:szCs w:val="32"/>
          <w:lang w:eastAsia="zh-CN"/>
        </w:rPr>
        <w:t>。</w:t>
      </w:r>
      <w:r>
        <w:rPr>
          <w:rFonts w:hint="default" w:ascii="FreeSerif" w:hAnsi="FreeSerif" w:eastAsia="方正仿宋_GBK" w:cs="FreeSerif"/>
          <w:b w:val="0"/>
          <w:bCs w:val="0"/>
          <w:snapToGrid/>
          <w:kern w:val="2"/>
          <w:sz w:val="32"/>
          <w:szCs w:val="32"/>
          <w:lang w:val="en-US" w:eastAsia="zh-CN" w:bidi="ar"/>
        </w:rPr>
        <w:t>进一步健全环境监测网络、不断提高环境执法能力与突发环境事件应急处理处置能力，逐步提升监管信息化水平，推进土壤、地下水和农村生态环境保护治理体系与治理能力现代化建设。</w:t>
      </w:r>
    </w:p>
    <w:p>
      <w:pPr>
        <w:keepNext w:val="0"/>
        <w:keepLines w:val="0"/>
        <w:pageBreakBefore w:val="0"/>
        <w:widowControl w:val="0"/>
        <w:suppressLineNumbers w:val="0"/>
        <w:kinsoku/>
        <w:wordWrap/>
        <w:topLinePunct w:val="0"/>
        <w:autoSpaceDE w:val="0"/>
        <w:autoSpaceDN/>
        <w:bidi w:val="0"/>
        <w:adjustRightInd w:val="0"/>
        <w:snapToGrid w:val="0"/>
        <w:spacing w:before="0" w:beforeAutospacing="0" w:after="0" w:afterAutospacing="0" w:line="580" w:lineRule="exact"/>
        <w:ind w:left="0" w:leftChars="0" w:right="0" w:firstLine="640" w:firstLineChars="200"/>
        <w:jc w:val="both"/>
        <w:textAlignment w:val="auto"/>
        <w:rPr>
          <w:rFonts w:hint="default" w:ascii="FreeSerif" w:hAnsi="FreeSerif" w:eastAsia="方正仿宋_GBK" w:cs="FreeSerif"/>
          <w:b w:val="0"/>
          <w:kern w:val="2"/>
          <w:sz w:val="32"/>
          <w:szCs w:val="32"/>
        </w:rPr>
      </w:pPr>
      <w:r>
        <w:rPr>
          <w:rFonts w:hint="default" w:ascii="FreeSerif" w:hAnsi="FreeSerif" w:eastAsia="方正仿宋_GBK" w:cs="FreeSerif"/>
          <w:b w:val="0"/>
          <w:snapToGrid/>
          <w:kern w:val="2"/>
          <w:sz w:val="32"/>
          <w:szCs w:val="32"/>
          <w:lang w:val="en-US" w:eastAsia="zh-CN" w:bidi="ar"/>
        </w:rPr>
        <w:t>1．推进环境监测体系建设。</w:t>
      </w:r>
    </w:p>
    <w:p>
      <w:pPr>
        <w:keepNext w:val="0"/>
        <w:keepLines w:val="0"/>
        <w:pageBreakBefore w:val="0"/>
        <w:widowControl w:val="0"/>
        <w:suppressLineNumbers w:val="0"/>
        <w:kinsoku/>
        <w:wordWrap/>
        <w:topLinePunct w:val="0"/>
        <w:autoSpaceDE w:val="0"/>
        <w:autoSpaceDN/>
        <w:bidi w:val="0"/>
        <w:adjustRightInd w:val="0"/>
        <w:snapToGrid w:val="0"/>
        <w:spacing w:before="0" w:beforeAutospacing="0" w:after="0" w:afterAutospacing="0" w:line="580" w:lineRule="exact"/>
        <w:ind w:left="0" w:leftChars="0" w:right="0" w:firstLine="640" w:firstLineChars="200"/>
        <w:jc w:val="both"/>
        <w:textAlignment w:val="auto"/>
        <w:rPr>
          <w:rFonts w:hint="default" w:ascii="FreeSerif" w:hAnsi="FreeSerif" w:eastAsia="方正楷体_GBK" w:cs="FreeSerif"/>
          <w:b w:val="0"/>
          <w:kern w:val="2"/>
          <w:sz w:val="32"/>
          <w:szCs w:val="32"/>
        </w:rPr>
      </w:pPr>
      <w:r>
        <w:rPr>
          <w:rFonts w:hint="default" w:ascii="FreeSerif" w:hAnsi="FreeSerif" w:eastAsia="方正仿宋_GBK" w:cs="FreeSerif"/>
          <w:snapToGrid/>
          <w:kern w:val="2"/>
          <w:sz w:val="32"/>
          <w:szCs w:val="32"/>
          <w:lang w:val="en-US" w:eastAsia="zh-CN" w:bidi="ar"/>
        </w:rPr>
        <w:t>加强土壤环境监测能力建设，强化农产品产地土壤和农产品协同监测，对土壤污染重点监管单位周边土壤至少完成一轮监测。开展典型行业企业用地及周边土壤污染状况调查。完善地下水环境监测网，强化部门协同，适度扩大饮用水水源、县域重点生态功能区地下水点位覆盖范围，构建吉林大安经济开发区化工园区等重点区域监测体系。推进农村环境监测能力建设，开展农村生态环境质量监测，推进日处理能力20吨及以上农村生活污水处理设施出水水质监测，到2025年，实现全市农村环境质量监测点位区县级全覆盖，农田灌溉水质监测体系初步建立。</w:t>
      </w:r>
      <w:r>
        <w:rPr>
          <w:rFonts w:hint="default" w:ascii="FreeSerif" w:hAnsi="FreeSerif" w:eastAsia="方正楷体_GBK" w:cs="FreeSerif"/>
          <w:b w:val="0"/>
          <w:snapToGrid/>
          <w:kern w:val="2"/>
          <w:sz w:val="32"/>
          <w:szCs w:val="32"/>
          <w:lang w:val="en-US" w:eastAsia="zh-CN" w:bidi="ar"/>
        </w:rPr>
        <w:t>（市生态环境局、市农业农村局、市自然资源局、市水利局等按职责分工负责）</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仿宋_GBK" w:cs="FreeSerif"/>
          <w:b w:val="0"/>
          <w:kern w:val="2"/>
          <w:sz w:val="32"/>
          <w:szCs w:val="32"/>
        </w:rPr>
      </w:pPr>
      <w:r>
        <w:rPr>
          <w:rFonts w:hint="default" w:ascii="FreeSerif" w:hAnsi="FreeSerif" w:eastAsia="方正仿宋_GBK" w:cs="FreeSerif"/>
          <w:b w:val="0"/>
          <w:snapToGrid/>
          <w:kern w:val="2"/>
          <w:sz w:val="32"/>
          <w:szCs w:val="32"/>
          <w:lang w:val="en-US" w:eastAsia="zh-CN" w:bidi="ar"/>
        </w:rPr>
        <w:t>2．强化环境执法体系建设。</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楷体_GBK" w:cs="FreeSerif"/>
          <w:b w:val="0"/>
          <w:kern w:val="2"/>
          <w:sz w:val="32"/>
          <w:szCs w:val="32"/>
        </w:rPr>
      </w:pPr>
      <w:r>
        <w:rPr>
          <w:rFonts w:hint="default" w:ascii="FreeSerif" w:hAnsi="FreeSerif" w:eastAsia="方正仿宋_GBK" w:cs="FreeSerif"/>
          <w:snapToGrid/>
          <w:kern w:val="2"/>
          <w:sz w:val="32"/>
          <w:szCs w:val="32"/>
          <w:lang w:val="en-US" w:eastAsia="zh-CN" w:bidi="ar"/>
        </w:rPr>
        <w:t>推动执法力量向基层和一线倾斜，加强动态巡查、办案等执法工作力量。建立完善生态环境保护行政执法跨部门协作机制，构建高效的</w:t>
      </w:r>
      <w:r>
        <w:rPr>
          <w:rFonts w:hint="eastAsia" w:ascii="方正仿宋_GBK" w:hAnsi="方正仿宋_GBK" w:eastAsia="方正仿宋_GBK" w:cs="方正仿宋_GBK"/>
          <w:snapToGrid/>
          <w:kern w:val="2"/>
          <w:sz w:val="32"/>
          <w:szCs w:val="32"/>
          <w:lang w:val="en-US" w:eastAsia="zh-CN" w:bidi="ar"/>
        </w:rPr>
        <w:t>监管模式。加大化工企业、涉重金属物排放企业、建设用地、危险废物处置场、矿山历史遗留固体废物、规模化畜禽养殖场等重点行业领域执法力度。综合运用“四不两直”、异地交叉执法、“双随机、一公开”等方式，加</w:t>
      </w:r>
      <w:r>
        <w:rPr>
          <w:rFonts w:hint="default" w:ascii="FreeSerif" w:hAnsi="FreeSerif" w:eastAsia="方正仿宋_GBK" w:cs="FreeSerif"/>
          <w:snapToGrid/>
          <w:kern w:val="2"/>
          <w:sz w:val="32"/>
          <w:szCs w:val="32"/>
          <w:lang w:val="en-US" w:eastAsia="zh-CN" w:bidi="ar"/>
        </w:rPr>
        <w:t>大重点抽查力度。严厉打击固体废物特别是危险废物非法倾倒或填埋以及利用渗井、渗坑、裂隙、溶洞等逃避监管的方式向地下排放污染物等环境污染等行为。</w:t>
      </w:r>
      <w:r>
        <w:rPr>
          <w:rFonts w:hint="default" w:ascii="FreeSerif" w:hAnsi="FreeSerif" w:eastAsia="方正楷体_GBK" w:cs="FreeSerif"/>
          <w:b w:val="0"/>
          <w:snapToGrid/>
          <w:kern w:val="2"/>
          <w:sz w:val="32"/>
          <w:szCs w:val="32"/>
          <w:lang w:val="en-US" w:eastAsia="zh-CN" w:bidi="ar"/>
        </w:rPr>
        <w:t>（市生态环境局负责）</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仿宋_GBK" w:cs="FreeSerif"/>
          <w:b w:val="0"/>
          <w:kern w:val="2"/>
          <w:sz w:val="32"/>
          <w:szCs w:val="32"/>
        </w:rPr>
      </w:pPr>
      <w:r>
        <w:rPr>
          <w:rFonts w:hint="default" w:ascii="FreeSerif" w:hAnsi="FreeSerif" w:eastAsia="方正仿宋_GBK" w:cs="FreeSerif"/>
          <w:b w:val="0"/>
          <w:snapToGrid/>
          <w:kern w:val="2"/>
          <w:sz w:val="32"/>
          <w:szCs w:val="32"/>
          <w:lang w:val="en-US" w:eastAsia="zh-CN" w:bidi="ar"/>
        </w:rPr>
        <w:t>3．完善环境应急管理体系。</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仿宋" w:cs="FreeSerif"/>
          <w:kern w:val="2"/>
          <w:sz w:val="32"/>
          <w:szCs w:val="32"/>
        </w:rPr>
      </w:pPr>
      <w:r>
        <w:rPr>
          <w:rFonts w:hint="default" w:ascii="FreeSerif" w:hAnsi="FreeSerif" w:eastAsia="方正仿宋_GBK" w:cs="FreeSerif"/>
          <w:snapToGrid/>
          <w:kern w:val="2"/>
          <w:sz w:val="32"/>
          <w:szCs w:val="32"/>
          <w:lang w:val="en-US" w:eastAsia="zh-CN" w:bidi="ar"/>
        </w:rPr>
        <w:t>健全突发环境事件应急联动机制，加强专业技术培训，进一步提高基层土壤、地下水和农村突发环境事件应急处置能力，完善各级应急预案，指导建立突发环境事件专业化应急处置队伍，配备必要的应急物资、设备，定期进行应急演练。加强粮食主产区、城镇建成区、集中式饮用水水源地、矿产资源开发影响区等土壤、地下水和农村生态环境监测预警。重点加强有色金属冶炼、化工企业和工业园区等土壤和地下水环境风险预警与处置能力。</w:t>
      </w:r>
      <w:r>
        <w:rPr>
          <w:rFonts w:hint="default" w:ascii="FreeSerif" w:hAnsi="FreeSerif" w:eastAsia="方正楷体_GBK" w:cs="FreeSerif"/>
          <w:b w:val="0"/>
          <w:snapToGrid/>
          <w:kern w:val="2"/>
          <w:sz w:val="32"/>
          <w:szCs w:val="32"/>
          <w:lang w:val="en-US" w:eastAsia="zh-CN" w:bidi="ar"/>
        </w:rPr>
        <w:t>（市生态环境局、市应急局等按职责分工负责）</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仿宋_GBK" w:cs="FreeSerif"/>
          <w:b w:val="0"/>
          <w:kern w:val="2"/>
          <w:sz w:val="32"/>
          <w:szCs w:val="32"/>
        </w:rPr>
      </w:pPr>
      <w:r>
        <w:rPr>
          <w:rFonts w:hint="default" w:ascii="FreeSerif" w:hAnsi="FreeSerif" w:eastAsia="方正仿宋_GBK" w:cs="FreeSerif"/>
          <w:b w:val="0"/>
          <w:snapToGrid/>
          <w:kern w:val="2"/>
          <w:sz w:val="32"/>
          <w:szCs w:val="32"/>
          <w:lang w:val="en-US" w:eastAsia="zh-CN" w:bidi="ar"/>
        </w:rPr>
        <w:t>4．提升信息化管理水平。</w:t>
      </w:r>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楷体_GBK" w:cs="FreeSerif"/>
          <w:b w:val="0"/>
          <w:kern w:val="2"/>
          <w:sz w:val="32"/>
          <w:szCs w:val="32"/>
        </w:rPr>
      </w:pPr>
      <w:r>
        <w:rPr>
          <w:rFonts w:hint="default" w:ascii="FreeSerif" w:hAnsi="FreeSerif" w:eastAsia="方正仿宋_GBK" w:cs="FreeSerif"/>
          <w:snapToGrid/>
          <w:kern w:val="2"/>
          <w:sz w:val="32"/>
          <w:szCs w:val="32"/>
          <w:lang w:val="en-US" w:eastAsia="zh-CN" w:bidi="ar"/>
        </w:rPr>
        <w:t>将土壤、地下水、农村生态环境管理信息融入全市生态环境保护平台，完善平台监测预警、统计分析、信息发布、效果评估和监督管理等功能。推进建设用地管理全过程监管信息化，完善污染地块管理系统、从业单位信用记录系统、农村生态环境基础信息数据系统，加快实现地下水监测数据分析应用。推动跨部门、跨层级的信息共享、互联互通和业务协同，为改善环境质量提供支持，为推进高质量发展提供参考。</w:t>
      </w:r>
      <w:r>
        <w:rPr>
          <w:rFonts w:hint="default" w:ascii="FreeSerif" w:hAnsi="FreeSerif" w:eastAsia="方正楷体_GBK" w:cs="FreeSerif"/>
          <w:b w:val="0"/>
          <w:snapToGrid/>
          <w:kern w:val="2"/>
          <w:sz w:val="32"/>
          <w:szCs w:val="32"/>
          <w:lang w:val="en-US" w:eastAsia="zh-CN" w:bidi="ar"/>
        </w:rPr>
        <w:t>（市生态环境局、市农业农村局、市自然资源局、市水利局等按职责分工负责）</w:t>
      </w:r>
    </w:p>
    <w:tbl>
      <w:tblPr>
        <w:tblStyle w:val="11"/>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0" w:lineRule="atLeast"/>
              <w:ind w:left="0" w:leftChars="0" w:right="0" w:firstLine="0" w:firstLineChars="0"/>
              <w:jc w:val="center"/>
              <w:rPr>
                <w:rFonts w:hint="default" w:ascii="FreeSerif" w:hAnsi="FreeSerif" w:eastAsia="仿宋" w:cs="FreeSerif"/>
                <w:b w:val="0"/>
                <w:spacing w:val="0"/>
                <w:kern w:val="2"/>
                <w:sz w:val="24"/>
                <w:szCs w:val="24"/>
              </w:rPr>
            </w:pPr>
            <w:r>
              <w:rPr>
                <w:rFonts w:hint="default" w:ascii="FreeSerif" w:hAnsi="FreeSerif" w:eastAsia="方正黑体_GBK" w:cs="FreeSerif"/>
                <w:b w:val="0"/>
                <w:snapToGrid/>
                <w:spacing w:val="0"/>
                <w:kern w:val="2"/>
                <w:sz w:val="24"/>
                <w:szCs w:val="24"/>
                <w:lang w:val="en-US" w:eastAsia="zh-CN" w:bidi="ar"/>
              </w:rPr>
              <w:t xml:space="preserve">专栏4  </w:t>
            </w:r>
            <w:r>
              <w:rPr>
                <w:rFonts w:hint="default" w:ascii="FreeSerif" w:hAnsi="FreeSerif" w:eastAsia="方正黑体_GBK" w:cs="FreeSerif"/>
                <w:b w:val="0"/>
                <w:snapToGrid/>
                <w:kern w:val="0"/>
                <w:sz w:val="24"/>
                <w:szCs w:val="24"/>
                <w:lang w:val="en-US" w:eastAsia="zh-CN" w:bidi="ar"/>
              </w:rPr>
              <w:t>监管体系建设提升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jc w:val="center"/>
        </w:trPr>
        <w:tc>
          <w:tcPr>
            <w:tcW w:w="871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overflowPunct w:val="0"/>
              <w:autoSpaceDE w:val="0"/>
              <w:autoSpaceDN/>
              <w:adjustRightInd w:val="0"/>
              <w:snapToGrid w:val="0"/>
              <w:spacing w:before="0" w:beforeAutospacing="0" w:after="0" w:afterAutospacing="0" w:line="0" w:lineRule="atLeast"/>
              <w:ind w:left="0" w:right="0" w:firstLine="420" w:firstLineChars="200"/>
              <w:jc w:val="both"/>
              <w:rPr>
                <w:rFonts w:hint="default" w:ascii="FreeSerif" w:hAnsi="FreeSerif" w:eastAsia="方正仿宋_GBK" w:cs="FreeSerif"/>
                <w:kern w:val="2"/>
                <w:sz w:val="21"/>
                <w:szCs w:val="21"/>
              </w:rPr>
            </w:pPr>
            <w:r>
              <w:rPr>
                <w:rFonts w:hint="default" w:ascii="FreeSerif" w:hAnsi="FreeSerif" w:eastAsia="CESI楷体-GB13000" w:cs="FreeSerif"/>
                <w:snapToGrid/>
                <w:kern w:val="2"/>
                <w:sz w:val="21"/>
                <w:szCs w:val="21"/>
                <w:lang w:val="en-US" w:eastAsia="zh-CN" w:bidi="ar"/>
              </w:rPr>
              <w:t>环境监测体系建设。</w:t>
            </w:r>
            <w:r>
              <w:rPr>
                <w:rFonts w:hint="default" w:ascii="FreeSerif" w:hAnsi="FreeSerif" w:eastAsia="方正仿宋_GBK" w:cs="FreeSerif"/>
                <w:snapToGrid/>
                <w:kern w:val="2"/>
                <w:sz w:val="21"/>
                <w:szCs w:val="21"/>
                <w:lang w:val="en-US" w:eastAsia="zh-CN" w:bidi="ar"/>
              </w:rPr>
              <w:t>健全土壤环境监测数据库，国控一般点位五年测一轮，风险源一般点位五年测两轮，重点点位一年一测。建立地下水数据库，重点监控点位监测至少一年一次。完善农业农村生态环境质量监测，到2025年，实现农村环境质量监测点位区县级全覆盖。</w:t>
            </w:r>
          </w:p>
          <w:p>
            <w:pPr>
              <w:keepNext w:val="0"/>
              <w:keepLines w:val="0"/>
              <w:widowControl w:val="0"/>
              <w:suppressLineNumbers w:val="0"/>
              <w:overflowPunct w:val="0"/>
              <w:autoSpaceDE w:val="0"/>
              <w:autoSpaceDN/>
              <w:adjustRightInd w:val="0"/>
              <w:snapToGrid w:val="0"/>
              <w:spacing w:before="0" w:beforeAutospacing="0" w:after="0" w:afterAutospacing="0" w:line="0" w:lineRule="atLeast"/>
              <w:ind w:left="0" w:right="0" w:firstLine="420" w:firstLineChars="200"/>
              <w:jc w:val="both"/>
              <w:rPr>
                <w:rFonts w:hint="default" w:ascii="FreeSerif" w:hAnsi="FreeSerif" w:eastAsia="方正仿宋_GBK" w:cs="FreeSerif"/>
                <w:kern w:val="2"/>
                <w:sz w:val="21"/>
                <w:szCs w:val="21"/>
              </w:rPr>
            </w:pPr>
            <w:r>
              <w:rPr>
                <w:rFonts w:hint="default" w:ascii="FreeSerif" w:hAnsi="FreeSerif" w:eastAsia="CESI楷体-GB13000" w:cs="FreeSerif"/>
                <w:snapToGrid/>
                <w:kern w:val="2"/>
                <w:sz w:val="21"/>
                <w:szCs w:val="21"/>
                <w:lang w:val="en-US" w:eastAsia="zh-CN" w:bidi="ar"/>
              </w:rPr>
              <w:t>环境执法体系建设</w:t>
            </w:r>
            <w:r>
              <w:rPr>
                <w:rFonts w:hint="default" w:ascii="FreeSerif" w:hAnsi="FreeSerif" w:eastAsia="方正仿宋_GBK" w:cs="FreeSerif"/>
                <w:snapToGrid/>
                <w:kern w:val="2"/>
                <w:sz w:val="21"/>
                <w:szCs w:val="21"/>
                <w:lang w:val="en-US" w:eastAsia="zh-CN" w:bidi="ar"/>
              </w:rPr>
              <w:t>。加强基层和一线执法力量，推动跨部门联合监管，检查结果共享互认，生态环境“双随机、一公开</w:t>
            </w:r>
            <w:r>
              <w:rPr>
                <w:rFonts w:hint="default" w:ascii="FreeSerif" w:hAnsi="FreeSerif" w:eastAsia="FreeSerif" w:cs="FreeSerif"/>
                <w:snapToGrid/>
                <w:kern w:val="2"/>
                <w:sz w:val="21"/>
                <w:szCs w:val="21"/>
                <w:lang w:val="en-US" w:eastAsia="zh-CN" w:bidi="ar"/>
              </w:rPr>
              <w:t>”</w:t>
            </w:r>
            <w:r>
              <w:rPr>
                <w:rFonts w:hint="default" w:ascii="FreeSerif" w:hAnsi="FreeSerif" w:eastAsia="方正仿宋_GBK" w:cs="FreeSerif"/>
                <w:snapToGrid/>
                <w:kern w:val="2"/>
                <w:sz w:val="21"/>
                <w:szCs w:val="21"/>
                <w:lang w:val="en-US" w:eastAsia="zh-CN" w:bidi="ar"/>
              </w:rPr>
              <w:t>监管工作全覆盖、常态化。</w:t>
            </w:r>
          </w:p>
          <w:p>
            <w:pPr>
              <w:keepNext w:val="0"/>
              <w:keepLines w:val="0"/>
              <w:widowControl w:val="0"/>
              <w:suppressLineNumbers w:val="0"/>
              <w:overflowPunct w:val="0"/>
              <w:autoSpaceDE w:val="0"/>
              <w:autoSpaceDN/>
              <w:adjustRightInd w:val="0"/>
              <w:snapToGrid w:val="0"/>
              <w:spacing w:before="0" w:beforeAutospacing="0" w:after="0" w:afterAutospacing="0" w:line="0" w:lineRule="atLeast"/>
              <w:ind w:left="0" w:right="0" w:firstLine="420" w:firstLineChars="200"/>
              <w:jc w:val="both"/>
              <w:rPr>
                <w:rFonts w:hint="default" w:ascii="FreeSerif" w:hAnsi="FreeSerif" w:eastAsia="宋体" w:cs="FreeSerif"/>
                <w:b w:val="0"/>
                <w:spacing w:val="0"/>
                <w:kern w:val="2"/>
                <w:sz w:val="21"/>
                <w:szCs w:val="21"/>
              </w:rPr>
            </w:pPr>
            <w:r>
              <w:rPr>
                <w:rFonts w:hint="default" w:ascii="FreeSerif" w:hAnsi="FreeSerif" w:eastAsia="CESI楷体-GB13000" w:cs="FreeSerif"/>
                <w:snapToGrid/>
                <w:kern w:val="2"/>
                <w:sz w:val="21"/>
                <w:szCs w:val="21"/>
                <w:lang w:val="en-US" w:eastAsia="zh-CN" w:bidi="ar"/>
              </w:rPr>
              <w:t>环境应急管理体系建设</w:t>
            </w:r>
            <w:r>
              <w:rPr>
                <w:rFonts w:hint="default" w:ascii="FreeSerif" w:hAnsi="FreeSerif" w:eastAsia="方正仿宋_GBK" w:cs="FreeSerif"/>
                <w:snapToGrid/>
                <w:kern w:val="2"/>
                <w:sz w:val="21"/>
                <w:szCs w:val="21"/>
                <w:lang w:val="en-US" w:eastAsia="zh-CN" w:bidi="ar"/>
              </w:rPr>
              <w:t>。加强应急能力建设，提升监测预警和风险管控能力。</w:t>
            </w:r>
          </w:p>
        </w:tc>
      </w:tr>
    </w:tbl>
    <w:p>
      <w:pPr>
        <w:pStyle w:val="3"/>
        <w:keepNext w:val="0"/>
        <w:keepLines w:val="0"/>
        <w:widowControl/>
        <w:suppressLineNumbers w:val="0"/>
        <w:autoSpaceDE w:val="0"/>
        <w:autoSpaceDN/>
        <w:spacing w:line="578" w:lineRule="exact"/>
        <w:ind w:left="0" w:leftChars="0" w:firstLine="643"/>
        <w:jc w:val="both"/>
        <w:rPr>
          <w:rFonts w:hint="default" w:ascii="FreeSerif" w:hAnsi="FreeSerif" w:eastAsia="方正黑体_GBK" w:cs="FreeSerif"/>
          <w:b w:val="0"/>
          <w:kern w:val="44"/>
          <w:sz w:val="32"/>
          <w:szCs w:val="32"/>
        </w:rPr>
      </w:pPr>
      <w:bookmarkStart w:id="13" w:name="_Toc910211291"/>
      <w:r>
        <w:rPr>
          <w:rFonts w:hint="default" w:ascii="FreeSerif" w:hAnsi="FreeSerif" w:eastAsia="方正黑体_GBK" w:cs="FreeSerif"/>
          <w:b w:val="0"/>
          <w:kern w:val="44"/>
          <w:sz w:val="32"/>
          <w:szCs w:val="32"/>
        </w:rPr>
        <w:t>四、保障措施</w:t>
      </w:r>
      <w:bookmarkEnd w:id="13"/>
    </w:p>
    <w:p>
      <w:pPr>
        <w:keepNext w:val="0"/>
        <w:keepLines w:val="0"/>
        <w:widowControl w:val="0"/>
        <w:suppressLineNumbers w:val="0"/>
        <w:autoSpaceDE w:val="0"/>
        <w:autoSpaceDN/>
        <w:adjustRightInd w:val="0"/>
        <w:snapToGrid w:val="0"/>
        <w:spacing w:before="0" w:beforeAutospacing="0" w:after="0" w:afterAutospacing="0" w:line="578" w:lineRule="exact"/>
        <w:ind w:left="0" w:leftChars="0" w:right="0" w:firstLine="640" w:firstLineChars="200"/>
        <w:jc w:val="both"/>
        <w:rPr>
          <w:rFonts w:hint="default" w:ascii="FreeSerif" w:hAnsi="FreeSerif" w:eastAsia="方正仿宋_GBK" w:cs="FreeSerif"/>
          <w:kern w:val="2"/>
          <w:sz w:val="32"/>
          <w:szCs w:val="32"/>
        </w:rPr>
      </w:pPr>
      <w:r>
        <w:rPr>
          <w:rFonts w:hint="default" w:ascii="FreeSerif" w:hAnsi="FreeSerif" w:eastAsia="方正仿宋_GBK" w:cs="FreeSerif"/>
          <w:snapToGrid/>
          <w:kern w:val="2"/>
          <w:sz w:val="32"/>
          <w:szCs w:val="32"/>
          <w:lang w:val="en-US" w:eastAsia="zh-CN" w:bidi="ar"/>
        </w:rPr>
        <w:t>规划保障实施机制主要包括以下几个方面：加强组织领导，明确主体责任。加大资金投入力度，研究经济政策支持措施。加强实施评估，明确年度评估要求。加强宣传教育，营造土壤、地下水和农业农村生态环境保护的良好社会氛围。</w:t>
      </w:r>
    </w:p>
    <w:p>
      <w:pPr>
        <w:keepNext w:val="0"/>
        <w:keepLines w:val="0"/>
        <w:widowControl w:val="0"/>
        <w:suppressLineNumbers w:val="0"/>
        <w:overflowPunct w:val="0"/>
        <w:autoSpaceDE w:val="0"/>
        <w:autoSpaceDN/>
        <w:adjustRightInd w:val="0"/>
        <w:snapToGrid w:val="0"/>
        <w:spacing w:before="0" w:beforeAutospacing="0" w:after="0" w:afterAutospacing="0" w:line="578" w:lineRule="exact"/>
        <w:ind w:left="0" w:right="0" w:firstLine="640" w:firstLineChars="200"/>
        <w:jc w:val="both"/>
        <w:outlineLvl w:val="1"/>
        <w:rPr>
          <w:rFonts w:hint="default" w:ascii="FreeSerif" w:hAnsi="FreeSerif" w:eastAsia="方正仿宋_GBK" w:cs="FreeSerif"/>
          <w:kern w:val="2"/>
          <w:sz w:val="32"/>
          <w:szCs w:val="32"/>
        </w:rPr>
      </w:pPr>
      <w:bookmarkStart w:id="14" w:name="_Toc293668412"/>
      <w:r>
        <w:rPr>
          <w:rFonts w:hint="default" w:ascii="FreeSerif" w:hAnsi="FreeSerif" w:eastAsia="方正楷体_GBK" w:cs="FreeSerif"/>
          <w:snapToGrid/>
          <w:kern w:val="2"/>
          <w:sz w:val="32"/>
          <w:szCs w:val="32"/>
          <w:lang w:val="en-US" w:eastAsia="zh-CN" w:bidi="ar"/>
        </w:rPr>
        <w:t>（一）加强组织领导</w:t>
      </w:r>
      <w:bookmarkEnd w:id="14"/>
      <w:r>
        <w:rPr>
          <w:rFonts w:hint="default" w:ascii="FreeSerif" w:hAnsi="FreeSerif" w:eastAsia="方正楷体_GBK" w:cs="FreeSerif"/>
          <w:snapToGrid/>
          <w:kern w:val="2"/>
          <w:sz w:val="32"/>
          <w:szCs w:val="32"/>
          <w:lang w:val="en-US" w:eastAsia="zh-CN" w:bidi="ar"/>
        </w:rPr>
        <w:t>。</w:t>
      </w:r>
      <w:r>
        <w:rPr>
          <w:rFonts w:hint="default" w:ascii="FreeSerif" w:hAnsi="FreeSerif" w:eastAsia="方正仿宋_GBK" w:cs="FreeSerif"/>
          <w:snapToGrid/>
          <w:kern w:val="2"/>
          <w:sz w:val="32"/>
          <w:szCs w:val="32"/>
          <w:lang w:val="en-US" w:eastAsia="zh-CN" w:bidi="ar"/>
        </w:rPr>
        <w:t>建立完善市负总责、各县区抓落实的工作推进机制。市直相关</w:t>
      </w:r>
      <w:r>
        <w:rPr>
          <w:rFonts w:hint="eastAsia" w:ascii="方正仿宋_GBK" w:hAnsi="方正仿宋_GBK" w:eastAsia="方正仿宋_GBK" w:cs="方正仿宋_GBK"/>
          <w:snapToGrid/>
          <w:kern w:val="2"/>
          <w:sz w:val="32"/>
          <w:szCs w:val="32"/>
          <w:lang w:val="en-US" w:eastAsia="zh-CN" w:bidi="ar"/>
        </w:rPr>
        <w:t>部门要根据规划要求，落实“一岗双责”</w:t>
      </w:r>
      <w:r>
        <w:rPr>
          <w:rFonts w:hint="default" w:ascii="FreeSerif" w:hAnsi="FreeSerif" w:eastAsia="方正仿宋_GBK" w:cs="FreeSerif"/>
          <w:snapToGrid/>
          <w:kern w:val="2"/>
          <w:sz w:val="32"/>
          <w:szCs w:val="32"/>
          <w:lang w:val="en-US" w:eastAsia="zh-CN" w:bidi="ar"/>
        </w:rPr>
        <w:t>，密切配合、通力协作、形成合力。市生态环境局每年向省生态环境厅报告土壤、地下水与农业农村生态环境保护工作进展情况。</w:t>
      </w:r>
    </w:p>
    <w:p>
      <w:pPr>
        <w:keepNext w:val="0"/>
        <w:keepLines w:val="0"/>
        <w:widowControl w:val="0"/>
        <w:suppressLineNumbers w:val="0"/>
        <w:overflowPunct w:val="0"/>
        <w:autoSpaceDE w:val="0"/>
        <w:autoSpaceDN/>
        <w:adjustRightInd w:val="0"/>
        <w:snapToGrid w:val="0"/>
        <w:spacing w:before="0" w:beforeAutospacing="0" w:after="0" w:afterAutospacing="0" w:line="578" w:lineRule="exact"/>
        <w:ind w:left="0" w:right="0" w:firstLine="640" w:firstLineChars="200"/>
        <w:jc w:val="both"/>
        <w:outlineLvl w:val="1"/>
        <w:rPr>
          <w:rFonts w:hint="default" w:ascii="FreeSerif" w:hAnsi="FreeSerif" w:eastAsia="方正仿宋_GBK" w:cs="FreeSerif"/>
          <w:kern w:val="2"/>
          <w:sz w:val="32"/>
          <w:szCs w:val="32"/>
        </w:rPr>
      </w:pPr>
      <w:bookmarkStart w:id="15" w:name="_Toc1668450299"/>
      <w:r>
        <w:rPr>
          <w:rFonts w:hint="default" w:ascii="FreeSerif" w:hAnsi="FreeSerif" w:eastAsia="方正楷体_GBK" w:cs="FreeSerif"/>
          <w:snapToGrid/>
          <w:kern w:val="2"/>
          <w:sz w:val="32"/>
          <w:szCs w:val="32"/>
          <w:lang w:val="en-US" w:eastAsia="zh-CN" w:bidi="ar"/>
        </w:rPr>
        <w:t>（二）加大资金投入</w:t>
      </w:r>
      <w:bookmarkEnd w:id="15"/>
      <w:r>
        <w:rPr>
          <w:rFonts w:hint="default" w:ascii="FreeSerif" w:hAnsi="FreeSerif" w:eastAsia="方正楷体_GBK" w:cs="FreeSerif"/>
          <w:snapToGrid/>
          <w:kern w:val="2"/>
          <w:sz w:val="32"/>
          <w:szCs w:val="32"/>
          <w:lang w:val="en-US" w:eastAsia="zh-CN" w:bidi="ar"/>
        </w:rPr>
        <w:t>。</w:t>
      </w:r>
      <w:r>
        <w:rPr>
          <w:rFonts w:hint="default" w:ascii="FreeSerif" w:hAnsi="FreeSerif" w:eastAsia="方正仿宋_GBK" w:cs="FreeSerif"/>
          <w:snapToGrid/>
          <w:kern w:val="2"/>
          <w:sz w:val="32"/>
          <w:szCs w:val="32"/>
          <w:lang w:val="en-US" w:eastAsia="zh-CN" w:bidi="ar"/>
        </w:rPr>
        <w:t>加大土壤、地下水与农业农村污染防治工作资金投入，拓宽融资渠道，发挥政策性和开发性金融机构作用，吸引社会资本投入，确保污染防治任务按时完成。加大政府购买服务力度，推动受污染耕地、地下水型饮用水水源、农村面源污染等以政府为责任主体的治理与修复。有条件的地区探索开展农村生活污水治理收费制度。</w:t>
      </w:r>
    </w:p>
    <w:p>
      <w:pPr>
        <w:keepNext w:val="0"/>
        <w:keepLines w:val="0"/>
        <w:widowControl w:val="0"/>
        <w:suppressLineNumbers w:val="0"/>
        <w:overflowPunct w:val="0"/>
        <w:autoSpaceDE w:val="0"/>
        <w:autoSpaceDN/>
        <w:adjustRightInd w:val="0"/>
        <w:snapToGrid w:val="0"/>
        <w:spacing w:before="0" w:beforeAutospacing="0" w:after="0" w:afterAutospacing="0" w:line="578" w:lineRule="exact"/>
        <w:ind w:left="0" w:right="0" w:firstLine="640" w:firstLineChars="200"/>
        <w:jc w:val="both"/>
        <w:outlineLvl w:val="1"/>
        <w:rPr>
          <w:rFonts w:hint="default" w:ascii="FreeSerif" w:hAnsi="FreeSerif" w:eastAsia="方正仿宋_GBK" w:cs="FreeSerif"/>
          <w:kern w:val="2"/>
          <w:sz w:val="32"/>
          <w:szCs w:val="32"/>
        </w:rPr>
      </w:pPr>
      <w:bookmarkStart w:id="16" w:name="_Toc2038549728"/>
      <w:r>
        <w:rPr>
          <w:rFonts w:hint="default" w:ascii="FreeSerif" w:hAnsi="FreeSerif" w:eastAsia="方正楷体_GBK" w:cs="FreeSerif"/>
          <w:snapToGrid/>
          <w:kern w:val="2"/>
          <w:sz w:val="32"/>
          <w:szCs w:val="32"/>
          <w:lang w:val="en-US" w:eastAsia="zh-CN" w:bidi="ar"/>
        </w:rPr>
        <w:t>（三）加大宣传引导</w:t>
      </w:r>
      <w:bookmarkEnd w:id="16"/>
      <w:r>
        <w:rPr>
          <w:rFonts w:hint="default" w:ascii="FreeSerif" w:hAnsi="FreeSerif" w:eastAsia="方正楷体_GBK" w:cs="FreeSerif"/>
          <w:snapToGrid/>
          <w:kern w:val="2"/>
          <w:sz w:val="32"/>
          <w:szCs w:val="32"/>
          <w:lang w:val="en-US" w:eastAsia="zh-CN" w:bidi="ar"/>
        </w:rPr>
        <w:t>。</w:t>
      </w:r>
      <w:r>
        <w:rPr>
          <w:rFonts w:hint="default" w:ascii="FreeSerif" w:hAnsi="FreeSerif" w:eastAsia="方正仿宋_GBK" w:cs="FreeSerif"/>
          <w:snapToGrid/>
          <w:kern w:val="2"/>
          <w:sz w:val="32"/>
          <w:szCs w:val="32"/>
          <w:lang w:val="en-US" w:eastAsia="zh-CN" w:bidi="ar"/>
        </w:rPr>
        <w:t>充分利用电视、广播、报刊、互联网、微信公众号等</w:t>
      </w:r>
      <w:r>
        <w:rPr>
          <w:rFonts w:hint="eastAsia" w:ascii="方正仿宋_GBK" w:hAnsi="方正仿宋_GBK" w:eastAsia="方正仿宋_GBK" w:cs="方正仿宋_GBK"/>
          <w:snapToGrid/>
          <w:kern w:val="2"/>
          <w:sz w:val="32"/>
          <w:szCs w:val="32"/>
          <w:lang w:val="en-US" w:eastAsia="zh-CN" w:bidi="ar"/>
        </w:rPr>
        <w:t>媒体，结合“六五”环境日、“九二六”吉林生态日</w:t>
      </w:r>
      <w:r>
        <w:rPr>
          <w:rFonts w:hint="default" w:ascii="FreeSerif" w:hAnsi="FreeSerif" w:eastAsia="方正仿宋_GBK" w:cs="FreeSerif"/>
          <w:snapToGrid/>
          <w:kern w:val="2"/>
          <w:sz w:val="32"/>
          <w:szCs w:val="32"/>
          <w:lang w:val="en-US" w:eastAsia="zh-CN" w:bidi="ar"/>
        </w:rPr>
        <w:t>等重要环保主题宣传活动，围绕实现美丽、平安、幸福白城为目标，有针对性地宣传普及土壤、地下水与农业农村生态环境保护知识，增强公众生态环境意识和责任意识。强化宣传培训，采用培训班、现场会、视频会等形式，组织召开农村环境整治项目申报、农村生活污水治理、农业面源污染防治等技术培训。推进土壤、地下水与农业农村生态环境保护融入党政机关、学校、工厂、社区、农村等环境宣传培训工作，大力推广绿色生产生活方式，形成全社会保护土壤、地下水与农业农村的良好氛围。</w:t>
      </w:r>
    </w:p>
    <w:p>
      <w:pPr>
        <w:keepNext w:val="0"/>
        <w:keepLines w:val="0"/>
        <w:widowControl w:val="0"/>
        <w:suppressLineNumbers w:val="0"/>
        <w:overflowPunct w:val="0"/>
        <w:autoSpaceDE w:val="0"/>
        <w:autoSpaceDN/>
        <w:adjustRightInd w:val="0"/>
        <w:snapToGrid w:val="0"/>
        <w:spacing w:before="0" w:beforeAutospacing="0" w:after="0" w:afterAutospacing="0" w:line="578" w:lineRule="exact"/>
        <w:ind w:left="0" w:right="0" w:firstLine="640" w:firstLineChars="200"/>
        <w:jc w:val="both"/>
        <w:outlineLvl w:val="1"/>
        <w:rPr>
          <w:rFonts w:hint="default" w:ascii="FreeSerif" w:hAnsi="FreeSerif" w:eastAsia="方正仿宋_GBK" w:cs="FreeSerif"/>
          <w:b w:val="0"/>
          <w:bCs w:val="0"/>
          <w:sz w:val="32"/>
          <w:szCs w:val="32"/>
          <w:lang w:eastAsia="zh-CN"/>
        </w:rPr>
      </w:pPr>
      <w:bookmarkStart w:id="17" w:name="_Toc575843450"/>
      <w:r>
        <w:rPr>
          <w:rFonts w:hint="default" w:ascii="FreeSerif" w:hAnsi="FreeSerif" w:eastAsia="方正楷体_GBK" w:cs="FreeSerif"/>
          <w:snapToGrid/>
          <w:kern w:val="2"/>
          <w:sz w:val="32"/>
          <w:szCs w:val="32"/>
          <w:lang w:val="en-US" w:eastAsia="zh-CN" w:bidi="ar"/>
        </w:rPr>
        <w:t>（四）加强实施效果评估</w:t>
      </w:r>
      <w:bookmarkEnd w:id="17"/>
      <w:r>
        <w:rPr>
          <w:rFonts w:hint="default" w:ascii="FreeSerif" w:hAnsi="FreeSerif" w:eastAsia="方正楷体_GBK" w:cs="FreeSerif"/>
          <w:snapToGrid/>
          <w:kern w:val="2"/>
          <w:sz w:val="32"/>
          <w:szCs w:val="32"/>
          <w:lang w:val="en-US" w:eastAsia="zh-CN" w:bidi="ar"/>
        </w:rPr>
        <w:t>。</w:t>
      </w:r>
      <w:r>
        <w:rPr>
          <w:rFonts w:hint="default" w:ascii="FreeSerif" w:hAnsi="FreeSerif" w:eastAsia="方正仿宋_GBK" w:cs="FreeSerif"/>
          <w:snapToGrid/>
          <w:kern w:val="2"/>
          <w:sz w:val="32"/>
          <w:szCs w:val="32"/>
          <w:lang w:val="en-US" w:eastAsia="zh-CN" w:bidi="ar"/>
        </w:rPr>
        <w:t>实行目标责任制和考核评价制度，分解落实目标任务。市生态环境局会同相关部门围绕本规划目标指标、重点任务、重大工程进展情况进行调度。在2023年、</w:t>
      </w:r>
      <w:r>
        <w:rPr>
          <w:rFonts w:hint="default" w:ascii="FreeSerif" w:hAnsi="FreeSerif" w:eastAsia="FreeSerif" w:cs="FreeSerif"/>
          <w:snapToGrid/>
          <w:kern w:val="2"/>
          <w:sz w:val="32"/>
          <w:szCs w:val="32"/>
          <w:lang w:val="en-US" w:eastAsia="zh-CN" w:bidi="ar"/>
        </w:rPr>
        <w:t>2025</w:t>
      </w:r>
      <w:r>
        <w:rPr>
          <w:rFonts w:hint="default" w:ascii="FreeSerif" w:hAnsi="FreeSerif" w:eastAsia="方正仿宋_GBK" w:cs="FreeSerif"/>
          <w:snapToGrid/>
          <w:kern w:val="2"/>
          <w:sz w:val="32"/>
          <w:szCs w:val="32"/>
          <w:lang w:val="en-US" w:eastAsia="zh-CN" w:bidi="ar"/>
        </w:rPr>
        <w:t>年年底，分别对本规划实施情况进行中期评估和总结评估。</w:t>
      </w:r>
    </w:p>
    <w:p>
      <w:pPr>
        <w:pStyle w:val="2"/>
        <w:ind w:left="0" w:leftChars="0" w:firstLine="0" w:firstLineChars="0"/>
        <w:rPr>
          <w:rFonts w:hint="default" w:ascii="FreeSerif" w:hAnsi="FreeSerif" w:eastAsia="方正仿宋_GBK" w:cs="FreeSerif"/>
          <w:b w:val="0"/>
          <w:bCs w:val="0"/>
          <w:sz w:val="32"/>
          <w:szCs w:val="32"/>
          <w:lang w:eastAsia="zh-CN"/>
        </w:rPr>
      </w:pPr>
    </w:p>
    <w:sectPr>
      <w:footerReference r:id="rId10" w:type="first"/>
      <w:footerReference r:id="rId9" w:type="default"/>
      <w:pgSz w:w="11900" w:h="16821"/>
      <w:pgMar w:top="2041" w:right="1531" w:bottom="2041" w:left="1531" w:header="850" w:footer="1672" w:gutter="0"/>
      <w:pgNumType w:fmt="decimal" w:start="2"/>
      <w:cols w:space="720" w:num="1"/>
      <w:titlePg/>
      <w:rtlGutter w:val="0"/>
      <w:docGrid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FreeSerif">
    <w:altName w:val="Simplified Arabic"/>
    <w:panose1 w:val="02020603050405020304"/>
    <w:charset w:val="00"/>
    <w:family w:val="auto"/>
    <w:pitch w:val="default"/>
    <w:sig w:usb0="00000000" w:usb1="00000000" w:usb2="43501B29" w:usb3="04000043" w:csb0="6001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CESI楷体-GB13000">
    <w:altName w:val="楷体_GB2312"/>
    <w:panose1 w:val="020005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Simplified Arabic">
    <w:panose1 w:val="02020603050405020304"/>
    <w:charset w:val="00"/>
    <w:family w:val="auto"/>
    <w:pitch w:val="default"/>
    <w:sig w:usb0="00002003" w:usb1="00000000" w:usb2="00000000"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AvYYd8BAAC/AwAADgAAAGRycy9lMm9Eb2MueG1srVPBjtMwEL0j8Q+W&#10;7zRppUV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m18lfTofVpR25ykx9m+gp62Z/IGciXbfoE1/IsQoTuqeLuqqPjKZLi0Xy2VJIUmx6UD4xcN1jyG+&#10;U2BZMiqONL6sqjh+CHFInVJSNQe32pg8QuP+cRBm8hSp96HHZMV+14+EdlCfiA+9A6rTAn7lrKMt&#10;qLijpefMvHckclqYycDJ2E2GcJIuVjxyNphv47BYB4963+ZVS00Ff3OI1GkmkNoYao/d0VyzBOMO&#10;psX5+5yzHt7d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dAvYYd8BAAC/AwAADgAAAAAA&#10;AAABACAAAAAeAQAAZHJzL2Uyb0RvYy54bWxQSwUGAAAAAAYABgBZAQAAbwUAAAAA&#10;">
              <v:fill on="f" focussize="0,0"/>
              <v:stroke on="f"/>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default" w:ascii="FreeSerif" w:hAnsi="FreeSerif" w:cs="FreeSerif"/>
                              <w:sz w:val="28"/>
                              <w:szCs w:val="28"/>
                            </w:rPr>
                          </w:pPr>
                          <w:r>
                            <w:rPr>
                              <w:rFonts w:hint="default" w:ascii="FreeSerif" w:hAnsi="FreeSerif" w:cs="FreeSerif"/>
                              <w:sz w:val="28"/>
                              <w:szCs w:val="28"/>
                            </w:rPr>
                            <w:t xml:space="preserve">— </w:t>
                          </w:r>
                          <w:r>
                            <w:rPr>
                              <w:rFonts w:hint="default" w:ascii="FreeSerif" w:hAnsi="FreeSerif" w:cs="FreeSerif"/>
                              <w:sz w:val="28"/>
                              <w:szCs w:val="28"/>
                            </w:rPr>
                            <w:fldChar w:fldCharType="begin"/>
                          </w:r>
                          <w:r>
                            <w:rPr>
                              <w:rFonts w:hint="default" w:ascii="FreeSerif" w:hAnsi="FreeSerif" w:cs="FreeSerif"/>
                              <w:sz w:val="28"/>
                              <w:szCs w:val="28"/>
                            </w:rPr>
                            <w:instrText xml:space="preserve"> PAGE  \* MERGEFORMAT </w:instrText>
                          </w:r>
                          <w:r>
                            <w:rPr>
                              <w:rFonts w:hint="default" w:ascii="FreeSerif" w:hAnsi="FreeSerif" w:cs="FreeSerif"/>
                              <w:sz w:val="28"/>
                              <w:szCs w:val="28"/>
                            </w:rPr>
                            <w:fldChar w:fldCharType="separate"/>
                          </w:r>
                          <w:r>
                            <w:rPr>
                              <w:rFonts w:hint="default" w:ascii="FreeSerif" w:hAnsi="FreeSerif" w:cs="FreeSerif"/>
                              <w:sz w:val="28"/>
                              <w:szCs w:val="28"/>
                            </w:rPr>
                            <w:t>2</w:t>
                          </w:r>
                          <w:r>
                            <w:rPr>
                              <w:rFonts w:hint="default" w:ascii="FreeSerif" w:hAnsi="FreeSerif" w:cs="FreeSerif"/>
                              <w:sz w:val="28"/>
                              <w:szCs w:val="28"/>
                            </w:rPr>
                            <w:fldChar w:fldCharType="end"/>
                          </w:r>
                          <w:r>
                            <w:rPr>
                              <w:rFonts w:hint="default" w:ascii="FreeSerif" w:hAnsi="FreeSerif" w:cs="FreeSerif"/>
                              <w:sz w:val="28"/>
                              <w:szCs w:val="28"/>
                            </w:rPr>
                            <w:t xml:space="preserve"> —</w:t>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96rYD3gEAAL8DAAAOAAAAAAAA&#10;AAEAIAAAAB4BAABkcnMvZTJvRG9jLnhtbFBLBQYAAAAABgAGAFkBAABuBQAAAAA=&#10;">
              <v:fill on="f" focussize="0,0"/>
              <v:stroke on="f"/>
              <v:imagedata o:title=""/>
              <o:lock v:ext="edit" aspectratio="f"/>
              <v:textbox inset="0mm,0mm,0mm,0mm" style="mso-fit-shape-to-text:t;">
                <w:txbxContent>
                  <w:p>
                    <w:pPr>
                      <w:pStyle w:val="6"/>
                      <w:rPr>
                        <w:rFonts w:hint="default" w:ascii="FreeSerif" w:hAnsi="FreeSerif" w:cs="FreeSerif"/>
                        <w:sz w:val="28"/>
                        <w:szCs w:val="28"/>
                      </w:rPr>
                    </w:pPr>
                    <w:r>
                      <w:rPr>
                        <w:rFonts w:hint="default" w:ascii="FreeSerif" w:hAnsi="FreeSerif" w:cs="FreeSerif"/>
                        <w:sz w:val="28"/>
                        <w:szCs w:val="28"/>
                      </w:rPr>
                      <w:t xml:space="preserve">— </w:t>
                    </w:r>
                    <w:r>
                      <w:rPr>
                        <w:rFonts w:hint="default" w:ascii="FreeSerif" w:hAnsi="FreeSerif" w:cs="FreeSerif"/>
                        <w:sz w:val="28"/>
                        <w:szCs w:val="28"/>
                      </w:rPr>
                      <w:fldChar w:fldCharType="begin"/>
                    </w:r>
                    <w:r>
                      <w:rPr>
                        <w:rFonts w:hint="default" w:ascii="FreeSerif" w:hAnsi="FreeSerif" w:cs="FreeSerif"/>
                        <w:sz w:val="28"/>
                        <w:szCs w:val="28"/>
                      </w:rPr>
                      <w:instrText xml:space="preserve"> PAGE  \* MERGEFORMAT </w:instrText>
                    </w:r>
                    <w:r>
                      <w:rPr>
                        <w:rFonts w:hint="default" w:ascii="FreeSerif" w:hAnsi="FreeSerif" w:cs="FreeSerif"/>
                        <w:sz w:val="28"/>
                        <w:szCs w:val="28"/>
                      </w:rPr>
                      <w:fldChar w:fldCharType="separate"/>
                    </w:r>
                    <w:r>
                      <w:rPr>
                        <w:rFonts w:hint="default" w:ascii="FreeSerif" w:hAnsi="FreeSerif" w:cs="FreeSerif"/>
                        <w:sz w:val="28"/>
                        <w:szCs w:val="28"/>
                      </w:rPr>
                      <w:t>2</w:t>
                    </w:r>
                    <w:r>
                      <w:rPr>
                        <w:rFonts w:hint="default" w:ascii="FreeSerif" w:hAnsi="FreeSerif" w:cs="FreeSerif"/>
                        <w:sz w:val="28"/>
                        <w:szCs w:val="28"/>
                      </w:rPr>
                      <w:fldChar w:fldCharType="end"/>
                    </w:r>
                    <w:r>
                      <w:rPr>
                        <w:rFonts w:hint="default" w:ascii="FreeSerif" w:hAnsi="FreeSerif" w:cs="FreeSerif"/>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left="0" w:leftChars="0" w:firstLine="0" w:firstLineChars="0"/>
                            <w:rPr>
                              <w:rFonts w:hint="default" w:ascii="FreeSerif" w:hAnsi="FreeSerif" w:cs="FreeSerif"/>
                              <w:sz w:val="28"/>
                              <w:szCs w:val="28"/>
                            </w:rPr>
                          </w:pPr>
                          <w:r>
                            <w:rPr>
                              <w:rFonts w:hint="default" w:ascii="FreeSerif" w:hAnsi="FreeSerif" w:cs="FreeSerif"/>
                              <w:sz w:val="28"/>
                              <w:szCs w:val="28"/>
                            </w:rPr>
                            <w:t xml:space="preserve">— </w:t>
                          </w:r>
                          <w:r>
                            <w:rPr>
                              <w:rFonts w:hint="default" w:ascii="FreeSerif" w:hAnsi="FreeSerif" w:cs="FreeSerif"/>
                              <w:sz w:val="28"/>
                              <w:szCs w:val="28"/>
                            </w:rPr>
                            <w:fldChar w:fldCharType="begin"/>
                          </w:r>
                          <w:r>
                            <w:rPr>
                              <w:rFonts w:hint="default" w:ascii="FreeSerif" w:hAnsi="FreeSerif" w:cs="FreeSerif"/>
                              <w:sz w:val="28"/>
                              <w:szCs w:val="28"/>
                            </w:rPr>
                            <w:instrText xml:space="preserve"> PAGE  \* MERGEFORMAT </w:instrText>
                          </w:r>
                          <w:r>
                            <w:rPr>
                              <w:rFonts w:hint="default" w:ascii="FreeSerif" w:hAnsi="FreeSerif" w:cs="FreeSerif"/>
                              <w:sz w:val="28"/>
                              <w:szCs w:val="28"/>
                            </w:rPr>
                            <w:fldChar w:fldCharType="separate"/>
                          </w:r>
                          <w:r>
                            <w:rPr>
                              <w:rFonts w:hint="default" w:ascii="FreeSerif" w:hAnsi="FreeSerif" w:cs="FreeSerif"/>
                              <w:sz w:val="28"/>
                              <w:szCs w:val="28"/>
                            </w:rPr>
                            <w:t>2</w:t>
                          </w:r>
                          <w:r>
                            <w:rPr>
                              <w:rFonts w:hint="default" w:ascii="FreeSerif" w:hAnsi="FreeSerif" w:cs="FreeSerif"/>
                              <w:sz w:val="28"/>
                              <w:szCs w:val="28"/>
                            </w:rPr>
                            <w:fldChar w:fldCharType="end"/>
                          </w:r>
                          <w:r>
                            <w:rPr>
                              <w:rFonts w:hint="default" w:ascii="FreeSerif" w:hAnsi="FreeSerif" w:cs="FreeSerif"/>
                              <w:sz w:val="28"/>
                              <w:szCs w:val="28"/>
                            </w:rPr>
                            <w:t xml:space="preserve"> —</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ZvO94BAAC+AwAADgAAAGRycy9lMm9Eb2MueG1srVPBjtMwEL0j8Q+W&#10;7zTZIkE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cMycsDfz84/v55+/zr2/s&#10;Z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llm873gEAAL4DAAAOAAAAAAAA&#10;AAEAIAAAAB4BAABkcnMvZTJvRG9jLnhtbFBLBQYAAAAABgAGAFkBAABuBQAAAAA=&#10;">
              <v:fill on="f" focussize="0,0"/>
              <v:stroke on="f"/>
              <v:imagedata o:title=""/>
              <o:lock v:ext="edit" aspectratio="f"/>
              <v:textbox inset="0mm,0mm,0mm,0mm" style="mso-fit-shape-to-text:t;">
                <w:txbxContent>
                  <w:p>
                    <w:pPr>
                      <w:pStyle w:val="6"/>
                      <w:ind w:left="0" w:leftChars="0" w:firstLine="0" w:firstLineChars="0"/>
                      <w:rPr>
                        <w:rFonts w:hint="default" w:ascii="FreeSerif" w:hAnsi="FreeSerif" w:cs="FreeSerif"/>
                        <w:sz w:val="28"/>
                        <w:szCs w:val="28"/>
                      </w:rPr>
                    </w:pPr>
                    <w:r>
                      <w:rPr>
                        <w:rFonts w:hint="default" w:ascii="FreeSerif" w:hAnsi="FreeSerif" w:cs="FreeSerif"/>
                        <w:sz w:val="28"/>
                        <w:szCs w:val="28"/>
                      </w:rPr>
                      <w:t xml:space="preserve">— </w:t>
                    </w:r>
                    <w:r>
                      <w:rPr>
                        <w:rFonts w:hint="default" w:ascii="FreeSerif" w:hAnsi="FreeSerif" w:cs="FreeSerif"/>
                        <w:sz w:val="28"/>
                        <w:szCs w:val="28"/>
                      </w:rPr>
                      <w:fldChar w:fldCharType="begin"/>
                    </w:r>
                    <w:r>
                      <w:rPr>
                        <w:rFonts w:hint="default" w:ascii="FreeSerif" w:hAnsi="FreeSerif" w:cs="FreeSerif"/>
                        <w:sz w:val="28"/>
                        <w:szCs w:val="28"/>
                      </w:rPr>
                      <w:instrText xml:space="preserve"> PAGE  \* MERGEFORMAT </w:instrText>
                    </w:r>
                    <w:r>
                      <w:rPr>
                        <w:rFonts w:hint="default" w:ascii="FreeSerif" w:hAnsi="FreeSerif" w:cs="FreeSerif"/>
                        <w:sz w:val="28"/>
                        <w:szCs w:val="28"/>
                      </w:rPr>
                      <w:fldChar w:fldCharType="separate"/>
                    </w:r>
                    <w:r>
                      <w:rPr>
                        <w:rFonts w:hint="default" w:ascii="FreeSerif" w:hAnsi="FreeSerif" w:cs="FreeSerif"/>
                        <w:sz w:val="28"/>
                        <w:szCs w:val="28"/>
                      </w:rPr>
                      <w:t>2</w:t>
                    </w:r>
                    <w:r>
                      <w:rPr>
                        <w:rFonts w:hint="default" w:ascii="FreeSerif" w:hAnsi="FreeSerif" w:cs="FreeSerif"/>
                        <w:sz w:val="28"/>
                        <w:szCs w:val="28"/>
                      </w:rPr>
                      <w:fldChar w:fldCharType="end"/>
                    </w:r>
                    <w:r>
                      <w:rPr>
                        <w:rFonts w:hint="default" w:ascii="FreeSerif" w:hAnsi="FreeSerif" w:cs="FreeSerif"/>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5843"/>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left="0" w:leftChars="0" w:firstLine="0" w:firstLineChars="0"/>
                            <w:rPr>
                              <w:rFonts w:hint="default" w:ascii="FreeSerif" w:hAnsi="FreeSerif" w:cs="FreeSerif"/>
                              <w:b w:val="0"/>
                              <w:bCs w:val="0"/>
                              <w:sz w:val="28"/>
                              <w:szCs w:val="28"/>
                            </w:rPr>
                          </w:pPr>
                          <w:r>
                            <w:rPr>
                              <w:rFonts w:hint="default" w:ascii="FreeSerif" w:hAnsi="FreeSerif" w:cs="FreeSerif"/>
                              <w:b w:val="0"/>
                              <w:bCs w:val="0"/>
                              <w:sz w:val="28"/>
                              <w:szCs w:val="28"/>
                            </w:rPr>
                            <w:t xml:space="preserve">— </w:t>
                          </w:r>
                          <w:r>
                            <w:rPr>
                              <w:rFonts w:hint="default" w:ascii="FreeSerif" w:hAnsi="FreeSerif" w:cs="FreeSerif"/>
                              <w:b w:val="0"/>
                              <w:bCs w:val="0"/>
                              <w:sz w:val="28"/>
                              <w:szCs w:val="28"/>
                            </w:rPr>
                            <w:fldChar w:fldCharType="begin"/>
                          </w:r>
                          <w:r>
                            <w:rPr>
                              <w:rFonts w:hint="default" w:ascii="FreeSerif" w:hAnsi="FreeSerif" w:cs="FreeSerif"/>
                              <w:b w:val="0"/>
                              <w:bCs w:val="0"/>
                              <w:sz w:val="28"/>
                              <w:szCs w:val="28"/>
                            </w:rPr>
                            <w:instrText xml:space="preserve"> PAGE  \* MERGEFORMAT </w:instrText>
                          </w:r>
                          <w:r>
                            <w:rPr>
                              <w:rFonts w:hint="default" w:ascii="FreeSerif" w:hAnsi="FreeSerif" w:cs="FreeSerif"/>
                              <w:b w:val="0"/>
                              <w:bCs w:val="0"/>
                              <w:sz w:val="28"/>
                              <w:szCs w:val="28"/>
                            </w:rPr>
                            <w:fldChar w:fldCharType="separate"/>
                          </w:r>
                          <w:r>
                            <w:rPr>
                              <w:rFonts w:hint="default" w:ascii="FreeSerif" w:hAnsi="FreeSerif" w:cs="FreeSerif"/>
                              <w:b w:val="0"/>
                              <w:bCs w:val="0"/>
                              <w:sz w:val="28"/>
                              <w:szCs w:val="28"/>
                            </w:rPr>
                            <w:t>1</w:t>
                          </w:r>
                          <w:r>
                            <w:rPr>
                              <w:rFonts w:hint="default" w:ascii="FreeSerif" w:hAnsi="FreeSerif" w:cs="FreeSerif"/>
                              <w:b w:val="0"/>
                              <w:bCs w:val="0"/>
                              <w:sz w:val="28"/>
                              <w:szCs w:val="28"/>
                            </w:rPr>
                            <w:fldChar w:fldCharType="end"/>
                          </w:r>
                          <w:r>
                            <w:rPr>
                              <w:rFonts w:hint="default" w:ascii="FreeSerif" w:hAnsi="FreeSerif" w:cs="FreeSerif"/>
                              <w:b w:val="0"/>
                              <w:bCs w:val="0"/>
                              <w:sz w:val="28"/>
                              <w:szCs w:val="28"/>
                            </w:rPr>
                            <w:t xml:space="preserve"> —</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rKrll3gEAAL4DAAAOAAAAAAAA&#10;AAEAIAAAAB4BAABkcnMvZTJvRG9jLnhtbFBLBQYAAAAABgAGAFkBAABuBQAAAAA=&#10;">
              <v:fill on="f" focussize="0,0"/>
              <v:stroke on="f"/>
              <v:imagedata o:title=""/>
              <o:lock v:ext="edit" aspectratio="f"/>
              <v:textbox inset="0mm,0mm,0mm,0mm" style="mso-fit-shape-to-text:t;">
                <w:txbxContent>
                  <w:p>
                    <w:pPr>
                      <w:pStyle w:val="6"/>
                      <w:ind w:left="0" w:leftChars="0" w:firstLine="0" w:firstLineChars="0"/>
                      <w:rPr>
                        <w:rFonts w:hint="default" w:ascii="FreeSerif" w:hAnsi="FreeSerif" w:cs="FreeSerif"/>
                        <w:b w:val="0"/>
                        <w:bCs w:val="0"/>
                        <w:sz w:val="28"/>
                        <w:szCs w:val="28"/>
                      </w:rPr>
                    </w:pPr>
                    <w:r>
                      <w:rPr>
                        <w:rFonts w:hint="default" w:ascii="FreeSerif" w:hAnsi="FreeSerif" w:cs="FreeSerif"/>
                        <w:b w:val="0"/>
                        <w:bCs w:val="0"/>
                        <w:sz w:val="28"/>
                        <w:szCs w:val="28"/>
                      </w:rPr>
                      <w:t xml:space="preserve">— </w:t>
                    </w:r>
                    <w:r>
                      <w:rPr>
                        <w:rFonts w:hint="default" w:ascii="FreeSerif" w:hAnsi="FreeSerif" w:cs="FreeSerif"/>
                        <w:b w:val="0"/>
                        <w:bCs w:val="0"/>
                        <w:sz w:val="28"/>
                        <w:szCs w:val="28"/>
                      </w:rPr>
                      <w:fldChar w:fldCharType="begin"/>
                    </w:r>
                    <w:r>
                      <w:rPr>
                        <w:rFonts w:hint="default" w:ascii="FreeSerif" w:hAnsi="FreeSerif" w:cs="FreeSerif"/>
                        <w:b w:val="0"/>
                        <w:bCs w:val="0"/>
                        <w:sz w:val="28"/>
                        <w:szCs w:val="28"/>
                      </w:rPr>
                      <w:instrText xml:space="preserve"> PAGE  \* MERGEFORMAT </w:instrText>
                    </w:r>
                    <w:r>
                      <w:rPr>
                        <w:rFonts w:hint="default" w:ascii="FreeSerif" w:hAnsi="FreeSerif" w:cs="FreeSerif"/>
                        <w:b w:val="0"/>
                        <w:bCs w:val="0"/>
                        <w:sz w:val="28"/>
                        <w:szCs w:val="28"/>
                      </w:rPr>
                      <w:fldChar w:fldCharType="separate"/>
                    </w:r>
                    <w:r>
                      <w:rPr>
                        <w:rFonts w:hint="default" w:ascii="FreeSerif" w:hAnsi="FreeSerif" w:cs="FreeSerif"/>
                        <w:b w:val="0"/>
                        <w:bCs w:val="0"/>
                        <w:sz w:val="28"/>
                        <w:szCs w:val="28"/>
                      </w:rPr>
                      <w:t>1</w:t>
                    </w:r>
                    <w:r>
                      <w:rPr>
                        <w:rFonts w:hint="default" w:ascii="FreeSerif" w:hAnsi="FreeSerif" w:cs="FreeSerif"/>
                        <w:b w:val="0"/>
                        <w:bCs w:val="0"/>
                        <w:sz w:val="28"/>
                        <w:szCs w:val="28"/>
                      </w:rPr>
                      <w:fldChar w:fldCharType="end"/>
                    </w:r>
                    <w:r>
                      <w:rPr>
                        <w:rFonts w:hint="default" w:ascii="FreeSerif" w:hAnsi="FreeSerif" w:cs="FreeSerif"/>
                        <w:b w:val="0"/>
                        <w:bCs w:val="0"/>
                        <w:sz w:val="28"/>
                        <w:szCs w:val="28"/>
                      </w:rPr>
                      <w:t xml:space="preserve"> —</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xODc2ZGJmZjdkNmNmNWJiZWM1MWQ1NjExMDBjOWIifQ=="/>
  </w:docVars>
  <w:rsids>
    <w:rsidRoot w:val="00000000"/>
    <w:rsid w:val="11FA3308"/>
    <w:rsid w:val="123D0D6C"/>
    <w:rsid w:val="14DE58BA"/>
    <w:rsid w:val="1BBFF92D"/>
    <w:rsid w:val="1EDDFE2D"/>
    <w:rsid w:val="253A60EB"/>
    <w:rsid w:val="2A153074"/>
    <w:rsid w:val="2DCFF332"/>
    <w:rsid w:val="37FF39D0"/>
    <w:rsid w:val="3BFA0263"/>
    <w:rsid w:val="3EAB0813"/>
    <w:rsid w:val="3FD65015"/>
    <w:rsid w:val="3FF74EF7"/>
    <w:rsid w:val="3FFFC90A"/>
    <w:rsid w:val="49FA2D73"/>
    <w:rsid w:val="4EF39EB1"/>
    <w:rsid w:val="4FDBCB86"/>
    <w:rsid w:val="4FFF05E4"/>
    <w:rsid w:val="5CBD5146"/>
    <w:rsid w:val="5D7DFA23"/>
    <w:rsid w:val="62DE3FC2"/>
    <w:rsid w:val="7B660BC0"/>
    <w:rsid w:val="7C326E2E"/>
    <w:rsid w:val="7DFF2C9D"/>
    <w:rsid w:val="7E77C48A"/>
    <w:rsid w:val="7EB704B0"/>
    <w:rsid w:val="7EDC47B4"/>
    <w:rsid w:val="7EEF9173"/>
    <w:rsid w:val="7F7EE600"/>
    <w:rsid w:val="95AF6D8B"/>
    <w:rsid w:val="9CF49C40"/>
    <w:rsid w:val="9FD799D9"/>
    <w:rsid w:val="A927B80E"/>
    <w:rsid w:val="BBB5A847"/>
    <w:rsid w:val="BFBEF151"/>
    <w:rsid w:val="BFDF4220"/>
    <w:rsid w:val="BFF70DFE"/>
    <w:rsid w:val="CFF9BF88"/>
    <w:rsid w:val="D90F5054"/>
    <w:rsid w:val="E17FE927"/>
    <w:rsid w:val="E9D55281"/>
    <w:rsid w:val="EE6F715D"/>
    <w:rsid w:val="FF7F6B98"/>
    <w:rsid w:val="FFE70AC0"/>
    <w:rsid w:val="FFEFBE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620" w:lineRule="exact"/>
      <w:ind w:firstLine="900" w:firstLineChars="200"/>
      <w:outlineLvl w:val="0"/>
    </w:pPr>
    <w:rPr>
      <w:rFonts w:ascii="Times New Roman" w:hAnsi="Times New Roman" w:eastAsia="黑体"/>
      <w:b/>
      <w:bCs/>
      <w:kern w:val="44"/>
      <w:sz w:val="32"/>
      <w:szCs w:val="44"/>
    </w:rPr>
  </w:style>
  <w:style w:type="paragraph" w:styleId="4">
    <w:name w:val="heading 2"/>
    <w:basedOn w:val="1"/>
    <w:next w:val="1"/>
    <w:qFormat/>
    <w:uiPriority w:val="0"/>
    <w:pPr>
      <w:keepNext/>
      <w:keepLines/>
      <w:spacing w:line="620" w:lineRule="exact"/>
      <w:ind w:firstLine="900" w:firstLineChars="200"/>
      <w:outlineLvl w:val="1"/>
    </w:pPr>
    <w:rPr>
      <w:rFonts w:ascii="Times New Roman" w:hAnsi="Times New Roman" w:eastAsia="楷体"/>
      <w:b/>
      <w:bCs/>
      <w:kern w:val="0"/>
      <w:sz w:val="32"/>
      <w:szCs w:val="32"/>
    </w:rPr>
  </w:style>
  <w:style w:type="character" w:default="1" w:styleId="12">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样式 正文11 + 首行缩进:  2 字符"/>
    <w:basedOn w:val="1"/>
    <w:qFormat/>
    <w:uiPriority w:val="0"/>
    <w:pPr>
      <w:spacing w:line="500" w:lineRule="exact"/>
      <w:ind w:firstLine="560" w:firstLineChars="200"/>
    </w:pPr>
    <w:rPr>
      <w:rFonts w:ascii="宋体" w:hAnsi="宋体" w:cs="宋体"/>
      <w:color w:val="FF0000"/>
      <w:sz w:val="28"/>
      <w:szCs w:val="20"/>
    </w:rPr>
  </w:style>
  <w:style w:type="paragraph" w:styleId="5">
    <w:name w:val="Plain Text"/>
    <w:basedOn w:val="1"/>
    <w:qFormat/>
    <w:uiPriority w:val="0"/>
    <w:pPr>
      <w:spacing w:line="560" w:lineRule="exact"/>
    </w:pPr>
    <w:rPr>
      <w:rFonts w:ascii="宋体" w:hAnsi="宋体" w:eastAsia="仿宋_GB2312" w:cs="宋体"/>
      <w:sz w:val="32"/>
      <w:szCs w:val="32"/>
    </w:rPr>
  </w:style>
  <w:style w:type="paragraph" w:styleId="6">
    <w:name w:val="footer"/>
    <w:basedOn w:val="1"/>
    <w:next w:val="1"/>
    <w:qFormat/>
    <w:uiPriority w:val="0"/>
    <w:pPr>
      <w:tabs>
        <w:tab w:val="center" w:pos="4153"/>
        <w:tab w:val="right" w:pos="8306"/>
      </w:tabs>
      <w:snapToGrid w:val="0"/>
      <w:jc w:val="left"/>
    </w:pPr>
    <w:rPr>
      <w:rFonts w:ascii="Calibri" w:hAnsi="Calibri" w:eastAsia="宋体"/>
      <w:sz w:val="18"/>
      <w:szCs w:val="18"/>
    </w:rPr>
  </w:style>
  <w:style w:type="paragraph" w:styleId="7">
    <w:name w:val="header"/>
    <w:basedOn w:val="1"/>
    <w:qFormat/>
    <w:uiPriority w:val="0"/>
    <w:pPr>
      <w:pBdr>
        <w:bottom w:val="single" w:color="auto" w:sz="6" w:space="1"/>
      </w:pBdr>
      <w:tabs>
        <w:tab w:val="center" w:pos="4153"/>
        <w:tab w:val="right" w:pos="8306"/>
      </w:tabs>
      <w:snapToGrid w:val="0"/>
      <w:spacing w:line="240" w:lineRule="auto"/>
      <w:jc w:val="center"/>
    </w:pPr>
    <w:rPr>
      <w:rFonts w:ascii="Calibri" w:hAnsi="Calibri" w:eastAsia="宋体"/>
      <w:sz w:val="18"/>
      <w:szCs w:val="18"/>
    </w:rPr>
  </w:style>
  <w:style w:type="paragraph" w:styleId="8">
    <w:name w:val="toc 1"/>
    <w:basedOn w:val="1"/>
    <w:next w:val="1"/>
    <w:qFormat/>
    <w:uiPriority w:val="39"/>
    <w:pPr>
      <w:ind w:firstLine="0" w:firstLineChars="0"/>
    </w:pPr>
    <w:rPr>
      <w:rFonts w:eastAsia="宋体"/>
      <w:b/>
      <w:kern w:val="0"/>
      <w:sz w:val="20"/>
      <w:szCs w:val="20"/>
    </w:rPr>
  </w:style>
  <w:style w:type="paragraph" w:styleId="9">
    <w:name w:val="toc 2"/>
    <w:basedOn w:val="1"/>
    <w:next w:val="1"/>
    <w:qFormat/>
    <w:uiPriority w:val="39"/>
    <w:pPr>
      <w:ind w:left="541" w:leftChars="100" w:hanging="301" w:hangingChars="100"/>
    </w:pPr>
    <w:rPr>
      <w:rFonts w:eastAsia="宋体"/>
      <w:b/>
      <w:kern w:val="0"/>
      <w:sz w:val="20"/>
      <w:szCs w:val="20"/>
    </w:rPr>
  </w:style>
  <w:style w:type="paragraph" w:styleId="10">
    <w:name w:val="Normal (Web)"/>
    <w:basedOn w:val="1"/>
    <w:qFormat/>
    <w:uiPriority w:val="99"/>
    <w:pPr>
      <w:widowControl/>
      <w:spacing w:before="100" w:beforeAutospacing="1" w:after="100" w:afterAutospacing="1"/>
      <w:jc w:val="left"/>
    </w:pPr>
    <w:rPr>
      <w:rFonts w:ascii="宋体" w:hAnsi="宋体" w:eastAsia="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16191</Words>
  <Characters>16479</Characters>
  <Lines>1</Lines>
  <Paragraphs>1</Paragraphs>
  <TotalTime>8</TotalTime>
  <ScaleCrop>false</ScaleCrop>
  <LinksUpToDate>false</LinksUpToDate>
  <CharactersWithSpaces>16601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victory</cp:lastModifiedBy>
  <cp:lastPrinted>2023-04-28T16:03:00Z</cp:lastPrinted>
  <dcterms:modified xsi:type="dcterms:W3CDTF">2023-11-08T01:12:40Z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7E8A82DDFCB84AA4A4E75C0A68EC6BD5_13</vt:lpwstr>
  </property>
</Properties>
</file>