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eastAsia" w:ascii="宋体" w:hAnsi="宋体" w:eastAsia="宋体" w:cs="宋体"/>
          <w:b/>
          <w:bCs/>
          <w:color w:val="000000" w:themeColor="text1"/>
          <w:kern w:val="0"/>
          <w:sz w:val="44"/>
          <w:szCs w:val="44"/>
          <w:lang w:val="en-US" w:eastAsia="zh-CN"/>
          <w14:textFill>
            <w14:solidFill>
              <w14:schemeClr w14:val="tx1"/>
            </w14:solidFill>
          </w14:textFill>
        </w:rPr>
      </w:pPr>
      <w:r>
        <w:rPr>
          <w:rFonts w:hint="eastAsia" w:ascii="宋体" w:hAnsi="宋体" w:eastAsia="宋体" w:cs="宋体"/>
          <w:b/>
          <w:bCs/>
          <w:color w:val="000000" w:themeColor="text1"/>
          <w:kern w:val="0"/>
          <w:sz w:val="44"/>
          <w:szCs w:val="44"/>
          <w:lang w:val="en-US" w:eastAsia="zh-CN"/>
          <w14:textFill>
            <w14:solidFill>
              <w14:schemeClr w14:val="tx1"/>
            </w14:solidFill>
          </w14:textFill>
        </w:rPr>
        <w:t>白城经济开发区安全监管部门</w:t>
      </w:r>
    </w:p>
    <w:p>
      <w:pPr>
        <w:widowControl/>
        <w:spacing w:line="480" w:lineRule="auto"/>
        <w:jc w:val="center"/>
        <w:rPr>
          <w:rFonts w:hint="eastAsia" w:ascii="宋体" w:hAnsi="宋体" w:eastAsia="宋体" w:cs="宋体"/>
          <w:b/>
          <w:bCs/>
          <w:color w:val="000000" w:themeColor="text1"/>
          <w:kern w:val="0"/>
          <w:sz w:val="44"/>
          <w:szCs w:val="44"/>
          <w:lang w:val="en-US" w:eastAsia="zh-CN"/>
          <w14:textFill>
            <w14:solidFill>
              <w14:schemeClr w14:val="tx1"/>
            </w14:solidFill>
          </w14:textFill>
        </w:rPr>
      </w:pPr>
      <w:r>
        <w:rPr>
          <w:rFonts w:hint="eastAsia" w:ascii="宋体" w:hAnsi="宋体" w:eastAsia="宋体" w:cs="宋体"/>
          <w:b/>
          <w:bCs/>
          <w:color w:val="000000" w:themeColor="text1"/>
          <w:kern w:val="0"/>
          <w:sz w:val="44"/>
          <w:szCs w:val="44"/>
          <w:lang w:val="en-US" w:eastAsia="zh-CN"/>
          <w14:textFill>
            <w14:solidFill>
              <w14:schemeClr w14:val="tx1"/>
            </w14:solidFill>
          </w14:textFill>
        </w:rPr>
        <w:t>事中事后监管制度</w:t>
      </w:r>
    </w:p>
    <w:p>
      <w:pPr>
        <w:widowControl/>
        <w:spacing w:line="480" w:lineRule="auto"/>
        <w:rPr>
          <w:rFonts w:ascii="宋体" w:hAnsi="宋体" w:eastAsia="宋体" w:cs="宋体"/>
          <w:b/>
          <w:bCs/>
          <w:color w:val="333333"/>
          <w:kern w:val="0"/>
          <w:sz w:val="32"/>
          <w:szCs w:val="32"/>
        </w:rPr>
      </w:pPr>
    </w:p>
    <w:p>
      <w:pPr>
        <w:widowControl/>
        <w:spacing w:line="480" w:lineRule="auto"/>
        <w:jc w:val="center"/>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第一章 总 则</w:t>
      </w:r>
    </w:p>
    <w:p>
      <w:pPr>
        <w:widowControl/>
        <w:spacing w:line="480" w:lineRule="auto"/>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第一条</w:t>
      </w:r>
      <w:r>
        <w:rPr>
          <w:rFonts w:hint="eastAsia" w:ascii="宋体" w:hAnsi="宋体" w:eastAsia="宋体" w:cs="宋体"/>
          <w:color w:val="333333"/>
          <w:kern w:val="0"/>
          <w:sz w:val="32"/>
          <w:szCs w:val="32"/>
        </w:rPr>
        <w:t> 为加强和规范</w:t>
      </w:r>
      <w:r>
        <w:rPr>
          <w:rFonts w:hint="eastAsia" w:ascii="宋体" w:hAnsi="宋体" w:eastAsia="宋体" w:cs="宋体"/>
          <w:color w:val="333333"/>
          <w:kern w:val="0"/>
          <w:sz w:val="32"/>
          <w:szCs w:val="32"/>
          <w:lang w:val="en-US" w:eastAsia="zh-CN"/>
        </w:rPr>
        <w:t>安全监管</w:t>
      </w:r>
      <w:r>
        <w:rPr>
          <w:rFonts w:hint="eastAsia" w:ascii="宋体" w:hAnsi="宋体" w:eastAsia="宋体" w:cs="宋体"/>
          <w:color w:val="333333"/>
          <w:kern w:val="0"/>
          <w:sz w:val="32"/>
          <w:szCs w:val="32"/>
        </w:rPr>
        <w:t>部门事中事后监管</w:t>
      </w:r>
      <w:r>
        <w:rPr>
          <w:rFonts w:hint="eastAsia" w:ascii="宋体" w:hAnsi="宋体" w:eastAsia="宋体" w:cs="宋体"/>
          <w:color w:val="333333"/>
          <w:kern w:val="0"/>
          <w:sz w:val="32"/>
          <w:szCs w:val="32"/>
          <w:lang w:val="en-US" w:eastAsia="zh-CN"/>
        </w:rPr>
        <w:t>工作，</w:t>
      </w:r>
      <w:r>
        <w:rPr>
          <w:rFonts w:hint="eastAsia" w:ascii="宋体" w:hAnsi="宋体" w:eastAsia="宋体" w:cs="宋体"/>
          <w:color w:val="333333"/>
          <w:kern w:val="0"/>
          <w:sz w:val="32"/>
          <w:szCs w:val="32"/>
        </w:rPr>
        <w:t>根据《国务院关于加强和规范事中事后监管的指导意见》（国发〔2019〕18号），</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rPr>
        <w:t>白城市应急管理部门事中事后监管规定</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rPr>
        <w:t>特制定本</w:t>
      </w:r>
      <w:r>
        <w:rPr>
          <w:rFonts w:hint="eastAsia" w:ascii="宋体" w:hAnsi="宋体" w:eastAsia="宋体" w:cs="宋体"/>
          <w:color w:val="333333"/>
          <w:kern w:val="0"/>
          <w:sz w:val="32"/>
          <w:szCs w:val="32"/>
          <w:lang w:eastAsia="zh-CN"/>
        </w:rPr>
        <w:t>制度</w:t>
      </w:r>
      <w:r>
        <w:rPr>
          <w:rFonts w:hint="eastAsia" w:ascii="宋体" w:hAnsi="宋体" w:eastAsia="宋体" w:cs="宋体"/>
          <w:color w:val="333333"/>
          <w:kern w:val="0"/>
          <w:sz w:val="32"/>
          <w:szCs w:val="32"/>
        </w:rPr>
        <w:t>。</w:t>
      </w:r>
    </w:p>
    <w:p>
      <w:pPr>
        <w:widowControl/>
        <w:spacing w:line="480" w:lineRule="auto"/>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第二条</w:t>
      </w:r>
      <w:r>
        <w:rPr>
          <w:rFonts w:hint="eastAsia" w:ascii="宋体" w:hAnsi="宋体" w:eastAsia="宋体" w:cs="宋体"/>
          <w:color w:val="333333"/>
          <w:kern w:val="0"/>
          <w:sz w:val="32"/>
          <w:szCs w:val="32"/>
        </w:rPr>
        <w:t> </w:t>
      </w:r>
      <w:r>
        <w:rPr>
          <w:rFonts w:hint="eastAsia" w:ascii="宋体" w:hAnsi="宋体" w:eastAsia="宋体" w:cs="宋体"/>
          <w:color w:val="333333"/>
          <w:kern w:val="0"/>
          <w:sz w:val="32"/>
          <w:szCs w:val="32"/>
          <w:lang w:val="en-US" w:eastAsia="zh-CN"/>
        </w:rPr>
        <w:t>安全监管部门</w:t>
      </w:r>
      <w:r>
        <w:rPr>
          <w:rFonts w:hint="eastAsia" w:ascii="宋体" w:hAnsi="宋体" w:eastAsia="宋体" w:cs="宋体"/>
          <w:color w:val="333333"/>
          <w:kern w:val="0"/>
          <w:sz w:val="32"/>
          <w:szCs w:val="32"/>
        </w:rPr>
        <w:t>事中事后监管适用本</w:t>
      </w:r>
      <w:r>
        <w:rPr>
          <w:rFonts w:hint="eastAsia" w:ascii="宋体" w:hAnsi="宋体" w:eastAsia="宋体" w:cs="宋体"/>
          <w:color w:val="333333"/>
          <w:kern w:val="0"/>
          <w:sz w:val="32"/>
          <w:szCs w:val="32"/>
          <w:lang w:eastAsia="zh-CN"/>
        </w:rPr>
        <w:t>制度</w:t>
      </w:r>
      <w:r>
        <w:rPr>
          <w:rFonts w:hint="eastAsia" w:ascii="宋体" w:hAnsi="宋体" w:eastAsia="宋体" w:cs="宋体"/>
          <w:color w:val="333333"/>
          <w:kern w:val="0"/>
          <w:sz w:val="32"/>
          <w:szCs w:val="32"/>
        </w:rPr>
        <w:t>。</w:t>
      </w:r>
    </w:p>
    <w:p>
      <w:pPr>
        <w:widowControl/>
        <w:spacing w:line="480" w:lineRule="auto"/>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第三条</w:t>
      </w:r>
      <w:r>
        <w:rPr>
          <w:rFonts w:hint="eastAsia" w:ascii="宋体" w:hAnsi="宋体" w:eastAsia="宋体" w:cs="宋体"/>
          <w:color w:val="333333"/>
          <w:kern w:val="0"/>
          <w:sz w:val="32"/>
          <w:szCs w:val="32"/>
        </w:rPr>
        <w:t> </w:t>
      </w:r>
      <w:r>
        <w:rPr>
          <w:rFonts w:hint="eastAsia" w:ascii="宋体" w:hAnsi="宋体" w:eastAsia="宋体" w:cs="宋体"/>
          <w:color w:val="333333"/>
          <w:kern w:val="0"/>
          <w:sz w:val="32"/>
          <w:szCs w:val="32"/>
          <w:lang w:val="en-US" w:eastAsia="zh-CN"/>
        </w:rPr>
        <w:t>安全监管部门</w:t>
      </w:r>
      <w:r>
        <w:rPr>
          <w:rFonts w:hint="eastAsia" w:ascii="宋体" w:hAnsi="宋体" w:eastAsia="宋体" w:cs="宋体"/>
          <w:color w:val="333333"/>
          <w:kern w:val="0"/>
          <w:sz w:val="32"/>
          <w:szCs w:val="32"/>
        </w:rPr>
        <w:t>事中事后监管工作坚持权责法定、依法</w:t>
      </w:r>
      <w:r>
        <w:rPr>
          <w:rFonts w:hint="eastAsia" w:ascii="宋体" w:hAnsi="宋体" w:eastAsia="宋体" w:cs="宋体"/>
          <w:color w:val="333333"/>
          <w:kern w:val="0"/>
          <w:sz w:val="32"/>
          <w:szCs w:val="32"/>
          <w:lang w:val="en-US" w:eastAsia="zh-CN"/>
        </w:rPr>
        <w:t>检查</w:t>
      </w:r>
      <w:r>
        <w:rPr>
          <w:rFonts w:hint="eastAsia" w:ascii="宋体" w:hAnsi="宋体" w:eastAsia="宋体" w:cs="宋体"/>
          <w:color w:val="333333"/>
          <w:kern w:val="0"/>
          <w:sz w:val="32"/>
          <w:szCs w:val="32"/>
        </w:rPr>
        <w:t>，严格按照法律法规规定履行监管责任，规范监管行为，推进事中事后监管工作法治化、制度化、规范化。</w:t>
      </w:r>
    </w:p>
    <w:p>
      <w:pPr>
        <w:widowControl/>
        <w:spacing w:line="480" w:lineRule="auto"/>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第四条</w:t>
      </w:r>
      <w:r>
        <w:rPr>
          <w:rFonts w:hint="eastAsia" w:ascii="宋体" w:hAnsi="宋体" w:eastAsia="宋体" w:cs="宋体"/>
          <w:color w:val="333333"/>
          <w:kern w:val="0"/>
          <w:sz w:val="32"/>
          <w:szCs w:val="32"/>
        </w:rPr>
        <w:t> 根据不同领域特点和风险程度，区分一般领域和可能造成严重不良后果、涉及安全的重要领域，分别确定监管内容、方式和频次，提升事中事后监管精准化水平</w:t>
      </w:r>
      <w:r>
        <w:rPr>
          <w:rFonts w:hint="eastAsia" w:ascii="宋体" w:hAnsi="宋体" w:eastAsia="宋体" w:cs="宋体"/>
          <w:color w:val="333333"/>
          <w:kern w:val="0"/>
          <w:sz w:val="32"/>
          <w:szCs w:val="32"/>
          <w:lang w:eastAsia="zh-CN"/>
        </w:rPr>
        <w:t>。</w:t>
      </w:r>
    </w:p>
    <w:p>
      <w:pPr>
        <w:widowControl/>
        <w:spacing w:line="480" w:lineRule="auto"/>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第五条</w:t>
      </w:r>
      <w:r>
        <w:rPr>
          <w:rFonts w:hint="eastAsia" w:ascii="宋体" w:hAnsi="宋体" w:eastAsia="宋体" w:cs="宋体"/>
          <w:color w:val="333333"/>
          <w:kern w:val="0"/>
          <w:sz w:val="32"/>
          <w:szCs w:val="32"/>
        </w:rPr>
        <w:t> 推进监管与服务相互结合、相互促进，坚持行“简约”之道，使程序、要件等删繁就简、利企便民。</w:t>
      </w:r>
    </w:p>
    <w:p>
      <w:pPr>
        <w:widowControl/>
        <w:spacing w:line="480" w:lineRule="auto"/>
        <w:jc w:val="center"/>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第二章 监管责任</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w:t>
      </w:r>
      <w:r>
        <w:rPr>
          <w:rFonts w:hint="eastAsia" w:ascii="宋体" w:hAnsi="宋体" w:eastAsia="宋体" w:cs="宋体"/>
          <w:b/>
          <w:bCs/>
          <w:color w:val="333333"/>
          <w:kern w:val="0"/>
          <w:sz w:val="32"/>
          <w:szCs w:val="32"/>
          <w:lang w:eastAsia="zh-CN"/>
        </w:rPr>
        <w:t>六</w:t>
      </w:r>
      <w:r>
        <w:rPr>
          <w:rFonts w:hint="eastAsia" w:ascii="宋体" w:hAnsi="宋体" w:eastAsia="宋体" w:cs="宋体"/>
          <w:b/>
          <w:bCs/>
          <w:color w:val="333333"/>
          <w:kern w:val="0"/>
          <w:sz w:val="32"/>
          <w:szCs w:val="32"/>
        </w:rPr>
        <w:t>条</w:t>
      </w:r>
      <w:r>
        <w:rPr>
          <w:rFonts w:hint="eastAsia" w:ascii="宋体" w:hAnsi="宋体" w:eastAsia="宋体" w:cs="宋体"/>
          <w:color w:val="333333"/>
          <w:kern w:val="0"/>
          <w:sz w:val="32"/>
          <w:szCs w:val="32"/>
        </w:rPr>
        <w:t> 事中事后监管对象和范围，要严格按照法律法规和“三定”规定明确的监管职责和监管事项，依法对企业进行监管，杜绝监管盲区和真空。</w:t>
      </w:r>
    </w:p>
    <w:p>
      <w:pPr>
        <w:widowControl/>
        <w:spacing w:line="480" w:lineRule="auto"/>
        <w:ind w:firstLine="643" w:firstLineChars="20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第</w:t>
      </w:r>
      <w:r>
        <w:rPr>
          <w:rFonts w:hint="eastAsia" w:ascii="宋体" w:hAnsi="宋体" w:eastAsia="宋体" w:cs="宋体"/>
          <w:b/>
          <w:bCs/>
          <w:color w:val="333333"/>
          <w:kern w:val="0"/>
          <w:sz w:val="32"/>
          <w:szCs w:val="32"/>
          <w:lang w:val="en-US" w:eastAsia="zh-CN"/>
        </w:rPr>
        <w:t>七</w:t>
      </w:r>
      <w:r>
        <w:rPr>
          <w:rFonts w:hint="eastAsia" w:ascii="宋体" w:hAnsi="宋体" w:eastAsia="宋体" w:cs="宋体"/>
          <w:b/>
          <w:bCs/>
          <w:color w:val="333333"/>
          <w:kern w:val="0"/>
          <w:sz w:val="32"/>
          <w:szCs w:val="32"/>
        </w:rPr>
        <w:t>条</w:t>
      </w:r>
      <w:r>
        <w:rPr>
          <w:rFonts w:hint="eastAsia" w:ascii="宋体" w:hAnsi="宋体" w:eastAsia="宋体" w:cs="宋体"/>
          <w:color w:val="333333"/>
          <w:kern w:val="0"/>
          <w:sz w:val="32"/>
          <w:szCs w:val="32"/>
        </w:rPr>
        <w:t> </w:t>
      </w:r>
      <w:r>
        <w:rPr>
          <w:rFonts w:hint="eastAsia" w:ascii="宋体" w:hAnsi="宋体" w:eastAsia="宋体" w:cs="宋体"/>
          <w:color w:val="333333"/>
          <w:kern w:val="0"/>
          <w:sz w:val="32"/>
          <w:szCs w:val="32"/>
          <w:lang w:val="en-US" w:eastAsia="zh-CN"/>
        </w:rPr>
        <w:t>安全监管</w:t>
      </w:r>
      <w:r>
        <w:rPr>
          <w:rFonts w:hint="eastAsia" w:ascii="宋体" w:hAnsi="宋体" w:eastAsia="宋体" w:cs="宋体"/>
          <w:color w:val="333333"/>
          <w:kern w:val="0"/>
          <w:sz w:val="32"/>
          <w:szCs w:val="32"/>
        </w:rPr>
        <w:t>部门要在规则和标准制定、风险研判、统筹协调等方面发挥作用，组织开展事中事后监管。对涉及面广、较为重大复杂的监管领域和监管事项</w:t>
      </w:r>
      <w:r>
        <w:rPr>
          <w:rFonts w:hint="eastAsia" w:ascii="宋体" w:hAnsi="宋体" w:eastAsia="宋体" w:cs="宋体"/>
          <w:color w:val="333333"/>
          <w:kern w:val="0"/>
          <w:sz w:val="32"/>
          <w:szCs w:val="32"/>
          <w:lang w:eastAsia="zh-CN"/>
        </w:rPr>
        <w:t>报市应急管理部门确定。</w:t>
      </w:r>
    </w:p>
    <w:p>
      <w:pPr>
        <w:widowControl/>
        <w:spacing w:line="480" w:lineRule="auto"/>
        <w:jc w:val="center"/>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第三章 监管规则和方式</w:t>
      </w:r>
    </w:p>
    <w:p>
      <w:pPr>
        <w:widowControl/>
        <w:spacing w:line="480" w:lineRule="auto"/>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w:t>
      </w:r>
      <w:r>
        <w:rPr>
          <w:rFonts w:hint="eastAsia" w:ascii="宋体" w:hAnsi="宋体" w:eastAsia="宋体" w:cs="宋体"/>
          <w:b/>
          <w:bCs/>
          <w:color w:val="333333"/>
          <w:kern w:val="0"/>
          <w:sz w:val="32"/>
          <w:szCs w:val="32"/>
          <w:lang w:val="en-US" w:eastAsia="zh-CN"/>
        </w:rPr>
        <w:t>八</w:t>
      </w:r>
      <w:r>
        <w:rPr>
          <w:rFonts w:hint="eastAsia" w:ascii="宋体" w:hAnsi="宋体" w:eastAsia="宋体" w:cs="宋体"/>
          <w:b/>
          <w:bCs/>
          <w:color w:val="333333"/>
          <w:kern w:val="0"/>
          <w:sz w:val="32"/>
          <w:szCs w:val="32"/>
        </w:rPr>
        <w:t>条</w:t>
      </w:r>
      <w:r>
        <w:rPr>
          <w:rFonts w:hint="eastAsia" w:ascii="宋体" w:hAnsi="宋体" w:eastAsia="宋体" w:cs="宋体"/>
          <w:color w:val="333333"/>
          <w:kern w:val="0"/>
          <w:sz w:val="32"/>
          <w:szCs w:val="32"/>
        </w:rPr>
        <w:t> </w:t>
      </w:r>
      <w:r>
        <w:rPr>
          <w:rFonts w:hint="eastAsia" w:ascii="宋体" w:hAnsi="宋体" w:eastAsia="宋体" w:cs="宋体"/>
          <w:color w:val="333333"/>
          <w:kern w:val="0"/>
          <w:sz w:val="32"/>
          <w:szCs w:val="32"/>
          <w:lang w:val="en-US" w:eastAsia="zh-CN"/>
        </w:rPr>
        <w:t>安全监管</w:t>
      </w:r>
      <w:r>
        <w:rPr>
          <w:rFonts w:hint="eastAsia" w:ascii="宋体" w:hAnsi="宋体" w:eastAsia="宋体" w:cs="宋体"/>
          <w:color w:val="333333"/>
          <w:kern w:val="0"/>
          <w:sz w:val="32"/>
          <w:szCs w:val="32"/>
        </w:rPr>
        <w:t>部门要结合权责清单编制，全面梳理本部门职责范围内的监管事项，明确监管主体、监管对象、监管措施、设定依据、处理方式等内容，提升监管规范化、标准化水平。</w:t>
      </w:r>
    </w:p>
    <w:p>
      <w:pPr>
        <w:widowControl/>
        <w:spacing w:line="480" w:lineRule="auto"/>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w:t>
      </w:r>
      <w:r>
        <w:rPr>
          <w:rFonts w:hint="eastAsia" w:ascii="宋体" w:hAnsi="宋体" w:eastAsia="宋体" w:cs="宋体"/>
          <w:b/>
          <w:bCs/>
          <w:color w:val="333333"/>
          <w:kern w:val="0"/>
          <w:sz w:val="32"/>
          <w:szCs w:val="32"/>
          <w:lang w:eastAsia="zh-CN"/>
        </w:rPr>
        <w:t>九</w:t>
      </w:r>
      <w:r>
        <w:rPr>
          <w:rFonts w:hint="eastAsia" w:ascii="宋体" w:hAnsi="宋体" w:eastAsia="宋体" w:cs="宋体"/>
          <w:b/>
          <w:bCs/>
          <w:color w:val="333333"/>
          <w:kern w:val="0"/>
          <w:sz w:val="32"/>
          <w:szCs w:val="32"/>
        </w:rPr>
        <w:t>条</w:t>
      </w:r>
      <w:r>
        <w:rPr>
          <w:rFonts w:hint="eastAsia" w:ascii="宋体" w:hAnsi="宋体" w:eastAsia="宋体" w:cs="宋体"/>
          <w:color w:val="333333"/>
          <w:kern w:val="0"/>
          <w:sz w:val="32"/>
          <w:szCs w:val="32"/>
        </w:rPr>
        <w:t> 鼓励企业、社会团体制定高于强制性标准的标准，开展标准自我声明公开并承诺执行落实。</w:t>
      </w:r>
    </w:p>
    <w:p>
      <w:pPr>
        <w:widowControl/>
        <w:spacing w:line="480" w:lineRule="auto"/>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第十条</w:t>
      </w:r>
      <w:r>
        <w:rPr>
          <w:rFonts w:hint="eastAsia" w:ascii="宋体" w:hAnsi="宋体" w:eastAsia="宋体" w:cs="宋体"/>
          <w:color w:val="333333"/>
          <w:kern w:val="0"/>
          <w:sz w:val="32"/>
          <w:szCs w:val="32"/>
        </w:rPr>
        <w:t> 除</w:t>
      </w:r>
      <w:r>
        <w:rPr>
          <w:rFonts w:hint="eastAsia" w:ascii="宋体" w:hAnsi="宋体" w:eastAsia="宋体" w:cs="宋体"/>
          <w:color w:val="333333"/>
          <w:kern w:val="0"/>
          <w:sz w:val="32"/>
          <w:szCs w:val="32"/>
          <w:lang w:eastAsia="zh-CN"/>
        </w:rPr>
        <w:t>省市区部署的专项行动、重要时间节点、</w:t>
      </w:r>
      <w:r>
        <w:rPr>
          <w:rFonts w:hint="eastAsia" w:ascii="宋体" w:hAnsi="宋体" w:eastAsia="宋体" w:cs="宋体"/>
          <w:color w:val="333333"/>
          <w:kern w:val="0"/>
          <w:sz w:val="32"/>
          <w:szCs w:val="32"/>
        </w:rPr>
        <w:t>重点领域外，原则上所有日常涉企行政检查都应通过“双随机、一公开”方式进行。</w:t>
      </w:r>
    </w:p>
    <w:p>
      <w:pPr>
        <w:widowControl/>
        <w:spacing w:line="480" w:lineRule="auto"/>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第十</w:t>
      </w:r>
      <w:r>
        <w:rPr>
          <w:rFonts w:hint="eastAsia" w:ascii="宋体" w:hAnsi="宋体" w:eastAsia="宋体" w:cs="宋体"/>
          <w:b/>
          <w:bCs/>
          <w:color w:val="333333"/>
          <w:kern w:val="0"/>
          <w:sz w:val="32"/>
          <w:szCs w:val="32"/>
          <w:lang w:val="en-US" w:eastAsia="zh-CN"/>
        </w:rPr>
        <w:t>一</w:t>
      </w:r>
      <w:r>
        <w:rPr>
          <w:rFonts w:hint="eastAsia" w:ascii="宋体" w:hAnsi="宋体" w:eastAsia="宋体" w:cs="宋体"/>
          <w:b/>
          <w:bCs/>
          <w:color w:val="333333"/>
          <w:kern w:val="0"/>
          <w:sz w:val="32"/>
          <w:szCs w:val="32"/>
        </w:rPr>
        <w:t>条</w:t>
      </w:r>
      <w:r>
        <w:rPr>
          <w:rFonts w:hint="eastAsia" w:ascii="宋体" w:hAnsi="宋体" w:eastAsia="宋体" w:cs="宋体"/>
          <w:color w:val="333333"/>
          <w:kern w:val="0"/>
          <w:sz w:val="32"/>
          <w:szCs w:val="32"/>
        </w:rPr>
        <w:t> 对直接涉及公共安全和人民群众生命健康等特殊重点领域，实行重点监管，严格落实安全责任，守住安全底线。</w:t>
      </w:r>
    </w:p>
    <w:p>
      <w:pPr>
        <w:widowControl/>
        <w:spacing w:line="480" w:lineRule="auto"/>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第十</w:t>
      </w:r>
      <w:r>
        <w:rPr>
          <w:rFonts w:hint="eastAsia" w:ascii="宋体" w:hAnsi="宋体" w:eastAsia="宋体" w:cs="宋体"/>
          <w:b/>
          <w:bCs/>
          <w:color w:val="333333"/>
          <w:kern w:val="0"/>
          <w:sz w:val="32"/>
          <w:szCs w:val="32"/>
          <w:lang w:val="en-US" w:eastAsia="zh-CN"/>
        </w:rPr>
        <w:t>二</w:t>
      </w:r>
      <w:r>
        <w:rPr>
          <w:rFonts w:hint="eastAsia" w:ascii="宋体" w:hAnsi="宋体" w:eastAsia="宋体" w:cs="宋体"/>
          <w:b/>
          <w:bCs/>
          <w:color w:val="333333"/>
          <w:kern w:val="0"/>
          <w:sz w:val="32"/>
          <w:szCs w:val="32"/>
        </w:rPr>
        <w:t>条</w:t>
      </w:r>
      <w:r>
        <w:rPr>
          <w:rFonts w:hint="eastAsia" w:ascii="宋体" w:hAnsi="宋体" w:eastAsia="宋体" w:cs="宋体"/>
          <w:color w:val="333333"/>
          <w:kern w:val="0"/>
          <w:sz w:val="32"/>
          <w:szCs w:val="32"/>
        </w:rPr>
        <w:t> 对新技术、新产业、新业态、新模式，要按照鼓励创新原则，留足发展空间，同时坚守安全底线，严禁简单封杀或放任不管。对潜在风险大、可能造成严重不良后果的，严格监管；对非法经营的，坚决依法予以查处。</w:t>
      </w:r>
    </w:p>
    <w:p>
      <w:pPr>
        <w:widowControl/>
        <w:spacing w:line="480" w:lineRule="auto"/>
        <w:jc w:val="center"/>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第四章 责任追究</w:t>
      </w:r>
    </w:p>
    <w:p>
      <w:pPr>
        <w:widowControl/>
        <w:spacing w:line="480" w:lineRule="auto"/>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第十</w:t>
      </w:r>
      <w:r>
        <w:rPr>
          <w:rFonts w:hint="eastAsia" w:ascii="宋体" w:hAnsi="宋体" w:eastAsia="宋体" w:cs="宋体"/>
          <w:b/>
          <w:bCs/>
          <w:color w:val="333333"/>
          <w:kern w:val="0"/>
          <w:sz w:val="32"/>
          <w:szCs w:val="32"/>
          <w:lang w:val="en-US" w:eastAsia="zh-CN"/>
        </w:rPr>
        <w:t>三</w:t>
      </w:r>
      <w:r>
        <w:rPr>
          <w:rFonts w:hint="eastAsia" w:ascii="宋体" w:hAnsi="宋体" w:eastAsia="宋体" w:cs="宋体"/>
          <w:b/>
          <w:bCs/>
          <w:color w:val="333333"/>
          <w:kern w:val="0"/>
          <w:sz w:val="32"/>
          <w:szCs w:val="32"/>
        </w:rPr>
        <w:t>条</w:t>
      </w:r>
      <w:r>
        <w:rPr>
          <w:rFonts w:hint="eastAsia" w:ascii="宋体" w:hAnsi="宋体" w:eastAsia="宋体" w:cs="宋体"/>
          <w:color w:val="333333"/>
          <w:kern w:val="0"/>
          <w:sz w:val="32"/>
          <w:szCs w:val="32"/>
        </w:rPr>
        <w:t> </w:t>
      </w:r>
      <w:r>
        <w:rPr>
          <w:rFonts w:hint="eastAsia" w:ascii="宋体" w:hAnsi="宋体" w:eastAsia="宋体" w:cs="宋体"/>
          <w:color w:val="333333"/>
          <w:kern w:val="0"/>
          <w:sz w:val="32"/>
          <w:szCs w:val="32"/>
          <w:lang w:val="en-US" w:eastAsia="zh-CN"/>
        </w:rPr>
        <w:t>安全监管部门</w:t>
      </w:r>
      <w:r>
        <w:rPr>
          <w:rFonts w:hint="eastAsia" w:ascii="宋体" w:hAnsi="宋体" w:eastAsia="宋体" w:cs="宋体"/>
          <w:color w:val="333333"/>
          <w:kern w:val="0"/>
          <w:sz w:val="32"/>
          <w:szCs w:val="32"/>
        </w:rPr>
        <w:t>要严格落实行政执法责任制，建立健全常态化责任追究机制，明确具体责任追究、倒查问责的主体与环节，对行政执法不作为、乱作为、失职渎职等行为的责任人实行问责，对未履行监管职责或违法违规实施监管的单位和个人要依法依纪严肃处理。</w:t>
      </w:r>
    </w:p>
    <w:p>
      <w:pPr>
        <w:pStyle w:val="4"/>
        <w:ind w:left="0" w:leftChars="0" w:firstLine="643" w:firstLineChars="200"/>
        <w:rPr>
          <w:rFonts w:hint="eastAsia" w:ascii="宋体" w:hAnsi="宋体" w:eastAsia="宋体" w:cs="宋体"/>
          <w:color w:val="333333"/>
          <w:kern w:val="0"/>
          <w:sz w:val="32"/>
          <w:szCs w:val="32"/>
          <w:lang w:eastAsia="zh-CN"/>
        </w:rPr>
      </w:pPr>
      <w:r>
        <w:rPr>
          <w:rFonts w:hint="eastAsia" w:ascii="宋体" w:hAnsi="宋体" w:eastAsia="宋体" w:cs="宋体"/>
          <w:b/>
          <w:bCs/>
          <w:color w:val="333333"/>
          <w:kern w:val="0"/>
          <w:sz w:val="32"/>
          <w:szCs w:val="32"/>
        </w:rPr>
        <w:t>第十</w:t>
      </w:r>
      <w:r>
        <w:rPr>
          <w:rFonts w:hint="eastAsia" w:ascii="宋体" w:hAnsi="宋体" w:cs="宋体"/>
          <w:b/>
          <w:bCs/>
          <w:color w:val="333333"/>
          <w:kern w:val="0"/>
          <w:sz w:val="32"/>
          <w:szCs w:val="32"/>
          <w:lang w:eastAsia="zh-CN"/>
        </w:rPr>
        <w:t>四</w:t>
      </w:r>
      <w:r>
        <w:rPr>
          <w:rFonts w:hint="eastAsia" w:ascii="宋体" w:hAnsi="宋体" w:eastAsia="宋体" w:cs="宋体"/>
          <w:b/>
          <w:bCs/>
          <w:color w:val="333333"/>
          <w:kern w:val="0"/>
          <w:sz w:val="32"/>
          <w:szCs w:val="32"/>
        </w:rPr>
        <w:t xml:space="preserve">条 </w:t>
      </w:r>
      <w:r>
        <w:rPr>
          <w:rFonts w:hint="eastAsia" w:ascii="宋体" w:hAnsi="宋体" w:eastAsia="宋体" w:cs="宋体"/>
          <w:color w:val="333333"/>
          <w:kern w:val="0"/>
          <w:sz w:val="32"/>
          <w:szCs w:val="32"/>
        </w:rPr>
        <w:t>本制度自</w:t>
      </w:r>
      <w:r>
        <w:rPr>
          <w:rFonts w:hint="eastAsia" w:ascii="宋体" w:hAnsi="宋体" w:cs="宋体"/>
          <w:color w:val="333333"/>
          <w:kern w:val="0"/>
          <w:sz w:val="32"/>
          <w:szCs w:val="32"/>
          <w:lang w:eastAsia="zh-CN"/>
        </w:rPr>
        <w:t>印发</w:t>
      </w:r>
      <w:r>
        <w:rPr>
          <w:rFonts w:hint="eastAsia" w:ascii="宋体" w:hAnsi="宋体" w:eastAsia="宋体" w:cs="宋体"/>
          <w:color w:val="333333"/>
          <w:kern w:val="0"/>
          <w:sz w:val="32"/>
          <w:szCs w:val="32"/>
        </w:rPr>
        <w:t>之日起实施</w:t>
      </w:r>
      <w:r>
        <w:rPr>
          <w:rFonts w:hint="eastAsia" w:ascii="宋体" w:hAnsi="宋体" w:eastAsia="宋体" w:cs="宋体"/>
          <w:color w:val="333333"/>
          <w:kern w:val="0"/>
          <w:sz w:val="32"/>
          <w:szCs w:val="32"/>
          <w:lang w:eastAsia="zh-CN"/>
        </w:rPr>
        <w:t>。</w:t>
      </w:r>
    </w:p>
    <w:p>
      <w:pPr>
        <w:pStyle w:val="4"/>
        <w:ind w:left="0" w:leftChars="0" w:firstLine="640" w:firstLineChars="200"/>
        <w:rPr>
          <w:rFonts w:hint="eastAsia" w:ascii="宋体" w:hAnsi="宋体" w:eastAsia="宋体" w:cs="宋体"/>
          <w:color w:val="333333"/>
          <w:kern w:val="0"/>
          <w:sz w:val="32"/>
          <w:szCs w:val="32"/>
          <w:lang w:eastAsia="zh-CN"/>
        </w:rPr>
      </w:pPr>
    </w:p>
    <w:p>
      <w:pPr>
        <w:pStyle w:val="4"/>
        <w:rPr>
          <w:rFonts w:hint="eastAsia" w:ascii="宋体" w:hAnsi="宋体" w:eastAsia="宋体" w:cs="宋体"/>
          <w:color w:val="333333"/>
          <w:kern w:val="0"/>
          <w:sz w:val="32"/>
          <w:szCs w:val="32"/>
        </w:rPr>
      </w:pPr>
    </w:p>
    <w:p>
      <w:pPr>
        <w:pStyle w:val="4"/>
        <w:rPr>
          <w:rFonts w:hint="eastAsia" w:ascii="宋体" w:hAnsi="宋体" w:eastAsia="宋体" w:cs="宋体"/>
          <w:color w:val="333333"/>
          <w:kern w:val="0"/>
          <w:sz w:val="32"/>
          <w:szCs w:val="32"/>
        </w:rPr>
      </w:pPr>
    </w:p>
    <w:p>
      <w:pPr>
        <w:pStyle w:val="4"/>
        <w:rPr>
          <w:rFonts w:hint="eastAsia" w:ascii="宋体" w:hAnsi="宋体" w:eastAsia="宋体" w:cs="宋体"/>
          <w:color w:val="333333"/>
          <w:kern w:val="0"/>
          <w:sz w:val="32"/>
          <w:szCs w:val="32"/>
        </w:rPr>
      </w:pPr>
    </w:p>
    <w:p>
      <w:pPr>
        <w:pStyle w:val="4"/>
        <w:rPr>
          <w:rFonts w:hint="eastAsia" w:ascii="宋体" w:hAnsi="宋体" w:eastAsia="宋体" w:cs="宋体"/>
          <w:color w:val="333333"/>
          <w:kern w:val="0"/>
          <w:sz w:val="32"/>
          <w:szCs w:val="32"/>
        </w:rPr>
      </w:pPr>
    </w:p>
    <w:p>
      <w:pPr>
        <w:pStyle w:val="4"/>
        <w:rPr>
          <w:rFonts w:hint="eastAsia" w:ascii="宋体" w:hAnsi="宋体" w:eastAsia="宋体" w:cs="宋体"/>
          <w:color w:val="333333"/>
          <w:kern w:val="0"/>
          <w:sz w:val="32"/>
          <w:szCs w:val="32"/>
        </w:rPr>
      </w:pPr>
    </w:p>
    <w:p>
      <w:pPr>
        <w:pStyle w:val="4"/>
        <w:rPr>
          <w:rFonts w:hint="eastAsia" w:ascii="宋体" w:hAnsi="宋体" w:eastAsia="宋体" w:cs="宋体"/>
          <w:color w:val="333333"/>
          <w:kern w:val="0"/>
          <w:sz w:val="32"/>
          <w:szCs w:val="32"/>
        </w:rPr>
      </w:pPr>
    </w:p>
    <w:p>
      <w:pPr>
        <w:pStyle w:val="4"/>
        <w:rPr>
          <w:rFonts w:hint="eastAsia" w:ascii="宋体" w:hAnsi="宋体" w:eastAsia="宋体" w:cs="宋体"/>
          <w:color w:val="333333"/>
          <w:kern w:val="0"/>
          <w:sz w:val="32"/>
          <w:szCs w:val="32"/>
        </w:rPr>
      </w:pPr>
    </w:p>
    <w:p>
      <w:pPr>
        <w:pStyle w:val="4"/>
        <w:rPr>
          <w:rFonts w:hint="eastAsia" w:ascii="宋体" w:hAnsi="宋体" w:eastAsia="宋体" w:cs="宋体"/>
          <w:color w:val="333333"/>
          <w:kern w:val="0"/>
          <w:sz w:val="32"/>
          <w:szCs w:val="32"/>
        </w:rPr>
      </w:pPr>
    </w:p>
    <w:p>
      <w:pPr>
        <w:pStyle w:val="4"/>
        <w:rPr>
          <w:rFonts w:hint="eastAsia" w:ascii="宋体" w:hAnsi="宋体" w:eastAsia="宋体" w:cs="宋体"/>
          <w:color w:val="333333"/>
          <w:kern w:val="0"/>
          <w:sz w:val="32"/>
          <w:szCs w:val="32"/>
        </w:rPr>
      </w:pPr>
    </w:p>
    <w:p>
      <w:pPr>
        <w:pStyle w:val="4"/>
        <w:rPr>
          <w:rFonts w:hint="eastAsia" w:ascii="宋体" w:hAnsi="宋体" w:eastAsia="宋体" w:cs="宋体"/>
          <w:color w:val="333333"/>
          <w:kern w:val="0"/>
          <w:sz w:val="32"/>
          <w:szCs w:val="32"/>
        </w:rPr>
      </w:pPr>
    </w:p>
    <w:p>
      <w:pPr>
        <w:pStyle w:val="4"/>
        <w:rPr>
          <w:rFonts w:hint="eastAsia" w:ascii="宋体" w:hAnsi="宋体" w:eastAsia="宋体" w:cs="宋体"/>
          <w:color w:val="333333"/>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53FE0"/>
    <w:rsid w:val="73B5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eastAsia="仿宋"/>
      <w:sz w:val="32"/>
    </w:rPr>
  </w:style>
  <w:style w:type="paragraph" w:styleId="3">
    <w:name w:val="Body Text Indent"/>
    <w:basedOn w:val="1"/>
    <w:next w:val="2"/>
    <w:qFormat/>
    <w:uiPriority w:val="0"/>
    <w:pPr>
      <w:ind w:firstLine="640" w:firstLineChars="200"/>
    </w:pPr>
    <w:rPr>
      <w:rFonts w:eastAsia="仿宋_GB2312"/>
      <w:color w:val="000000"/>
      <w:sz w:val="32"/>
      <w:szCs w:val="18"/>
    </w:rPr>
  </w:style>
  <w:style w:type="paragraph" w:styleId="4">
    <w:name w:val="Body Text First Indent 2"/>
    <w:basedOn w:val="3"/>
    <w:qFormat/>
    <w:uiPriority w:val="0"/>
    <w:pPr>
      <w:spacing w:after="0"/>
      <w:ind w:left="200" w:firstLine="20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2020-10-25T01:36:00Z</dcterms:created>
  <dc:creator>꧁大公举꧂</dc:creator>
  <cp:lastModifiedBy>꧁大公举꧂</cp:lastModifiedBy>
  <dcterms:modified xsi:type="dcterms:W3CDTF">2020-10-25T01:37:25Z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