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cs="Times New Roman"/>
          <w:color w:val="000000"/>
          <w:kern w:val="2"/>
          <w:sz w:val="32"/>
          <w:szCs w:val="32"/>
          <w:lang w:val="en-US" w:eastAsia="zh-CN" w:bidi="ar-SA"/>
        </w:rPr>
        <w:t>附件</w:t>
      </w:r>
    </w:p>
    <w:p>
      <w:pPr>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Times New Roman"/>
          <w:color w:val="000000"/>
          <w:sz w:val="44"/>
          <w:szCs w:val="44"/>
          <w:lang w:eastAsia="zh-CN"/>
        </w:rPr>
      </w:pPr>
      <w:bookmarkStart w:id="0" w:name="_Toc16348"/>
    </w:p>
    <w:p>
      <w:pPr>
        <w:pageBreakBefore w:val="0"/>
        <w:widowControl w:val="0"/>
        <w:kinsoku/>
        <w:wordWrap/>
        <w:overflowPunct/>
        <w:topLinePunct w:val="0"/>
        <w:autoSpaceDE/>
        <w:autoSpaceDN/>
        <w:bidi w:val="0"/>
        <w:adjustRightInd/>
        <w:snapToGrid/>
        <w:spacing w:line="564"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白城市国民经济和社会发展第十四个五年</w:t>
      </w:r>
    </w:p>
    <w:p>
      <w:pPr>
        <w:pageBreakBefore w:val="0"/>
        <w:widowControl w:val="0"/>
        <w:kinsoku/>
        <w:wordWrap/>
        <w:overflowPunct/>
        <w:topLinePunct w:val="0"/>
        <w:autoSpaceDE/>
        <w:autoSpaceDN/>
        <w:bidi w:val="0"/>
        <w:adjustRightInd/>
        <w:snapToGrid/>
        <w:spacing w:line="564" w:lineRule="exact"/>
        <w:ind w:firstLine="0" w:firstLineChars="0"/>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规划和2035年远景目标纲要</w:t>
      </w:r>
      <w:r>
        <w:rPr>
          <w:rFonts w:hint="default" w:ascii="Times New Roman" w:hAnsi="Times New Roman" w:eastAsia="方正小标宋简体" w:cs="Times New Roman"/>
          <w:color w:val="000000"/>
          <w:sz w:val="44"/>
          <w:szCs w:val="44"/>
          <w:lang w:eastAsia="zh-CN"/>
        </w:rPr>
        <w:t>实施</w:t>
      </w:r>
    </w:p>
    <w:p>
      <w:pPr>
        <w:pageBreakBefore w:val="0"/>
        <w:widowControl w:val="0"/>
        <w:kinsoku/>
        <w:wordWrap/>
        <w:overflowPunct/>
        <w:topLinePunct w:val="0"/>
        <w:autoSpaceDE/>
        <w:autoSpaceDN/>
        <w:bidi w:val="0"/>
        <w:adjustRightInd/>
        <w:snapToGrid/>
        <w:spacing w:line="564" w:lineRule="exact"/>
        <w:ind w:firstLine="0" w:firstLine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中期评估</w:t>
      </w:r>
      <w:r>
        <w:rPr>
          <w:rFonts w:hint="default" w:ascii="Times New Roman" w:hAnsi="Times New Roman" w:eastAsia="方正小标宋简体" w:cs="Times New Roman"/>
          <w:color w:val="000000"/>
          <w:sz w:val="44"/>
          <w:szCs w:val="44"/>
          <w:lang w:eastAsia="zh-CN"/>
        </w:rPr>
        <w:t>报</w:t>
      </w:r>
      <w:bookmarkStart w:id="11" w:name="_GoBack"/>
      <w:bookmarkEnd w:id="11"/>
      <w:r>
        <w:rPr>
          <w:rFonts w:hint="default" w:ascii="Times New Roman" w:hAnsi="Times New Roman" w:eastAsia="方正小标宋简体" w:cs="Times New Roman"/>
          <w:color w:val="000000"/>
          <w:sz w:val="44"/>
          <w:szCs w:val="44"/>
          <w:lang w:eastAsia="zh-CN"/>
        </w:rPr>
        <w:t>告》</w:t>
      </w:r>
      <w:r>
        <w:rPr>
          <w:rFonts w:hint="default" w:ascii="Times New Roman" w:hAnsi="Times New Roman" w:eastAsia="方正小标宋简体" w:cs="Times New Roman"/>
          <w:color w:val="000000"/>
          <w:sz w:val="44"/>
          <w:szCs w:val="44"/>
        </w:rPr>
        <w:t>任务清单</w:t>
      </w:r>
    </w:p>
    <w:p>
      <w:pPr>
        <w:pStyle w:val="2"/>
        <w:pageBreakBefore w:val="0"/>
        <w:widowControl w:val="0"/>
        <w:kinsoku/>
        <w:wordWrap/>
        <w:overflowPunct/>
        <w:topLinePunct w:val="0"/>
        <w:autoSpaceDE/>
        <w:autoSpaceDN/>
        <w:bidi w:val="0"/>
        <w:adjustRightInd/>
        <w:snapToGrid/>
        <w:spacing w:line="564" w:lineRule="exact"/>
        <w:ind w:firstLine="60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4" w:lineRule="exact"/>
        <w:ind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eastAsia="zh-CN"/>
        </w:rPr>
        <w:t>纵深实施“一三三四”高质量发展战略，</w:t>
      </w:r>
      <w:r>
        <w:rPr>
          <w:rFonts w:hint="default" w:ascii="Times New Roman" w:hAnsi="Times New Roman" w:eastAsia="方正仿宋_GBK" w:cs="Times New Roman"/>
          <w:color w:val="000000"/>
          <w:sz w:val="32"/>
          <w:szCs w:val="32"/>
        </w:rPr>
        <w:t>切实做好</w:t>
      </w:r>
      <w:r>
        <w:rPr>
          <w:rFonts w:hint="default" w:ascii="Times New Roman" w:hAnsi="Times New Roman" w:eastAsia="方正仿宋_GBK" w:cs="Times New Roman"/>
          <w:color w:val="000000"/>
          <w:sz w:val="32"/>
          <w:szCs w:val="32"/>
          <w:lang w:eastAsia="zh-CN"/>
        </w:rPr>
        <w:t>“十四五”后半程重点工作任务落实</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全面推进</w:t>
      </w:r>
      <w:r>
        <w:rPr>
          <w:rFonts w:hint="default" w:ascii="Times New Roman" w:hAnsi="Times New Roman" w:eastAsia="方正仿宋_GBK" w:cs="Times New Roman"/>
          <w:b w:val="0"/>
          <w:bCs w:val="0"/>
          <w:sz w:val="32"/>
          <w:szCs w:val="32"/>
          <w:u w:val="none"/>
        </w:rPr>
        <w:t>社会主义现代化新白城建设</w:t>
      </w:r>
      <w:r>
        <w:rPr>
          <w:rFonts w:hint="default" w:ascii="Times New Roman" w:hAnsi="Times New Roman" w:eastAsia="方正仿宋_GBK" w:cs="Times New Roman"/>
          <w:color w:val="000000"/>
          <w:sz w:val="32"/>
          <w:szCs w:val="32"/>
        </w:rPr>
        <w:t>，按照</w:t>
      </w:r>
      <w:r>
        <w:rPr>
          <w:rFonts w:hint="default" w:ascii="Times New Roman" w:hAnsi="Times New Roman" w:eastAsia="方正仿宋_GBK" w:cs="Times New Roman"/>
          <w:color w:val="000000"/>
          <w:sz w:val="32"/>
          <w:szCs w:val="32"/>
          <w:lang w:eastAsia="zh-CN"/>
        </w:rPr>
        <w:t>部门</w:t>
      </w:r>
      <w:r>
        <w:rPr>
          <w:rFonts w:hint="default" w:ascii="Times New Roman" w:hAnsi="Times New Roman" w:eastAsia="方正仿宋_GBK" w:cs="Times New Roman"/>
          <w:color w:val="000000"/>
          <w:sz w:val="32"/>
          <w:szCs w:val="32"/>
        </w:rPr>
        <w:t>职责分工将中期评估报告提出的主要任务分解落实。特制定任务清单如下：</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r>
        <w:rPr>
          <w:rFonts w:hint="default" w:ascii="Times New Roman" w:hAnsi="Times New Roman" w:eastAsia="方正黑体_GBK" w:cs="Times New Roman"/>
          <w:b w:val="0"/>
          <w:bCs/>
          <w:color w:val="000000"/>
          <w:sz w:val="32"/>
          <w:szCs w:val="32"/>
          <w:lang w:eastAsia="zh-CN"/>
        </w:rPr>
        <w:t>一、</w:t>
      </w:r>
      <w:bookmarkEnd w:id="0"/>
      <w:r>
        <w:rPr>
          <w:rFonts w:hint="default" w:ascii="Times New Roman" w:hAnsi="Times New Roman" w:eastAsia="方正黑体_GBK" w:cs="Times New Roman"/>
          <w:b w:val="0"/>
          <w:bCs/>
          <w:color w:val="000000"/>
          <w:sz w:val="32"/>
          <w:szCs w:val="32"/>
          <w:lang w:eastAsia="zh-CN"/>
        </w:rPr>
        <w:t>粮食增产</w:t>
      </w:r>
    </w:p>
    <w:p>
      <w:pPr>
        <w:pStyle w:val="2"/>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深入实施“藏粮于地、藏粮于技”战略，坚决抓好粮食增产这一“头等大事”，打造吉林西部粮食安全产业带。</w:t>
      </w:r>
      <w:r>
        <w:rPr>
          <w:rFonts w:hint="default" w:ascii="Times New Roman" w:hAnsi="Times New Roman" w:eastAsia="方正楷体_GBK" w:cs="Times New Roman"/>
          <w:color w:val="000000"/>
          <w:kern w:val="0"/>
          <w:sz w:val="32"/>
          <w:szCs w:val="32"/>
          <w:lang w:val="en"/>
        </w:rPr>
        <w:t>〔</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rPr>
        <w:t>市农业农村局</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lang w:val="en-US" w:eastAsia="zh-CN"/>
        </w:rPr>
        <w:t>市自然资源局、市水利局</w:t>
      </w:r>
      <w:r>
        <w:rPr>
          <w:rFonts w:hint="default" w:ascii="Times New Roman" w:hAnsi="Times New Roman" w:eastAsia="方正楷体_GBK" w:cs="Times New Roman"/>
          <w:color w:val="000000"/>
          <w:kern w:val="0"/>
          <w:sz w:val="32"/>
          <w:szCs w:val="32"/>
          <w:lang w:val="en"/>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建设完善盐碱地等耕地后备资源数据库，创新开展国家盐碱地综合利用试点，不断增加耕地面积，释放粮食增产潜能，全力打造国家盐碱地综合治理示范区。加快建设一批10万亩级治理示范片区，努力实现三年新增（改善）水田100万亩、增产粮食10亿斤。</w:t>
      </w:r>
      <w:r>
        <w:rPr>
          <w:rFonts w:hint="default" w:ascii="Times New Roman" w:hAnsi="Times New Roman" w:eastAsia="方正楷体_GBK" w:cs="Times New Roman"/>
          <w:color w:val="000000"/>
          <w:kern w:val="0"/>
          <w:sz w:val="32"/>
          <w:szCs w:val="32"/>
          <w:lang w:val="en" w:eastAsia="zh-CN" w:bidi="ar-SA"/>
        </w:rPr>
        <w:t>〔责任部门：市</w:t>
      </w:r>
      <w:r>
        <w:rPr>
          <w:rFonts w:hint="default" w:ascii="Times New Roman" w:hAnsi="Times New Roman" w:eastAsia="方正楷体_GBK" w:cs="Times New Roman"/>
          <w:color w:val="000000"/>
          <w:kern w:val="0"/>
          <w:sz w:val="32"/>
          <w:szCs w:val="32"/>
          <w:lang w:val="en-US" w:eastAsia="zh-CN" w:bidi="ar-SA"/>
        </w:rPr>
        <w:t>自然资源局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大力推进“大安模式”，推广“四良一智”经验，落实全程机械化、水肥一体化、智能化作业等先进技术。依托苏打盐碱地治理研究院，研究设立产业发展基金，筹划申报国家级耐盐碱种子繁育基地，打造盐碱地等后备资源综合利用“白城样板”。</w:t>
      </w:r>
      <w:r>
        <w:rPr>
          <w:rFonts w:hint="default" w:ascii="Times New Roman" w:hAnsi="Times New Roman" w:eastAsia="方正楷体_GBK" w:cs="Times New Roman"/>
          <w:color w:val="000000"/>
          <w:kern w:val="0"/>
          <w:sz w:val="32"/>
          <w:szCs w:val="32"/>
          <w:lang w:val="en" w:eastAsia="zh-CN" w:bidi="ar-SA"/>
        </w:rPr>
        <w:t>〔责任部门：市农业农村局、市自然资源局〕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加强高标准农田建设，实施“黑土粮仓”科技会战，强化“地趴粮”整治，加大良种良法推广力度。到“十四五”期末，落实水肥一体化500万亩、保护性耕作700万亩、测土配方施肥1650万亩，努力提高粮食单产和质量，力争全市粮食产量达到130亿斤，为国家粮食安全产业带建设、全省“千亿斤粮食”产能建设工程贡献力量。</w:t>
      </w:r>
      <w:r>
        <w:rPr>
          <w:rFonts w:hint="default" w:ascii="Times New Roman" w:hAnsi="Times New Roman" w:eastAsia="方正楷体_GBK" w:cs="Times New Roman"/>
          <w:color w:val="000000"/>
          <w:kern w:val="0"/>
          <w:sz w:val="32"/>
          <w:szCs w:val="32"/>
          <w:lang w:val="en" w:eastAsia="zh-CN" w:bidi="ar-SA"/>
        </w:rPr>
        <w:t>〔责任部门：市农业农村局、市发改委〕</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1" w:name="_Toc24409"/>
      <w:r>
        <w:rPr>
          <w:rFonts w:hint="default" w:ascii="Times New Roman" w:hAnsi="Times New Roman" w:eastAsia="方正黑体_GBK" w:cs="Times New Roman"/>
          <w:b w:val="0"/>
          <w:bCs/>
          <w:color w:val="000000"/>
          <w:sz w:val="32"/>
          <w:szCs w:val="32"/>
          <w:lang w:eastAsia="zh-CN"/>
        </w:rPr>
        <w:t>二、</w:t>
      </w:r>
      <w:bookmarkEnd w:id="1"/>
      <w:r>
        <w:rPr>
          <w:rFonts w:hint="default" w:ascii="Times New Roman" w:hAnsi="Times New Roman" w:eastAsia="方正黑体_GBK" w:cs="Times New Roman"/>
          <w:b w:val="0"/>
          <w:bCs/>
          <w:color w:val="000000"/>
          <w:sz w:val="32"/>
          <w:szCs w:val="32"/>
          <w:lang w:eastAsia="zh-CN"/>
        </w:rPr>
        <w:t>产业发展</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坚持“全绿电”，持续推进绿电园区铅碳电池示范、远景白城零碳储能产业园等项目建设，加快国电投异质结电池、旭合硅材料及单晶硅棒生产等项目建设进度，构建“源网荷储”一体化产业体系。</w:t>
      </w:r>
      <w:r>
        <w:rPr>
          <w:rFonts w:hint="default" w:ascii="Times New Roman" w:hAnsi="Times New Roman" w:eastAsia="方正楷体_GBK" w:cs="Times New Roman"/>
          <w:color w:val="000000"/>
          <w:kern w:val="0"/>
          <w:sz w:val="32"/>
          <w:szCs w:val="32"/>
          <w:lang w:val="en" w:eastAsia="zh-CN" w:bidi="ar-SA"/>
        </w:rPr>
        <w:t>〔责任部门：市能源局〕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themeColor="text1"/>
          <w:sz w:val="32"/>
          <w:szCs w:val="32"/>
          <w14:textFill>
            <w14:solidFill>
              <w14:schemeClr w14:val="tx1"/>
            </w14:solidFill>
          </w14:textFill>
        </w:rPr>
        <w:t>以打造一批大基地为目标，推进“陆上风光三峡”建设。</w:t>
      </w:r>
      <w:r>
        <w:rPr>
          <w:rFonts w:hint="default" w:ascii="Times New Roman" w:hAnsi="Times New Roman" w:eastAsia="方正仿宋_GBK" w:cs="Times New Roman"/>
          <w:color w:val="000000"/>
          <w:sz w:val="32"/>
          <w:szCs w:val="32"/>
        </w:rPr>
        <w:t>推动大安乐胜、通榆傅家2座变电站开工建设。持续引进拥有核心技术的“头部”企业，组建新能源产业联盟，促进域内企业供需互补、市场配套。完善“绿电+绿氢+绿氨+绿醇”模式，抓好制氢加氢一体化项目运营，专班推动吉电“绿氢合成氨一体化”示范项目，持续推进远景零碳氢氨及生物合成、上海电气绿电氢氨2个项目。推进华润天然气掺氢项目，力争在全国率先试点。</w:t>
      </w:r>
      <w:r>
        <w:rPr>
          <w:rFonts w:hint="default" w:ascii="Times New Roman" w:hAnsi="Times New Roman" w:eastAsia="方正楷体_GBK" w:cs="Times New Roman"/>
          <w:color w:val="000000"/>
          <w:kern w:val="0"/>
          <w:sz w:val="32"/>
          <w:szCs w:val="32"/>
          <w:lang w:val="en" w:eastAsia="zh-CN" w:bidi="ar-SA"/>
        </w:rPr>
        <w:t>〔责任部门：市能源局〕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鼓励三一、东方电气等重点企业，大力开展以数字化、智能化为目标的技术改造，进一步扩充产业规模、优化产品结构。依托清洁能源产业基础，深化与一汽集团对接合作，扶持永固连杆、中一精锻、安波福派克等企业智慧转型，谋划引进氢能特种车辆零部件生产项目，加快打造汽车连杆、线束、铰链、动力电池生产基地；培育和引进知名风电整机制造企业，带动关键零部件商入驻白城，实现产业链覆盖主要关键零部件及各环节，建设风电装备制造基地，着力打造装备制造产业集群。</w:t>
      </w:r>
      <w:r>
        <w:rPr>
          <w:rFonts w:hint="default" w:ascii="Times New Roman" w:hAnsi="Times New Roman" w:eastAsia="方正楷体_GBK" w:cs="Times New Roman"/>
          <w:color w:val="000000"/>
          <w:kern w:val="0"/>
          <w:sz w:val="32"/>
          <w:szCs w:val="32"/>
          <w:lang w:val="en" w:eastAsia="zh-CN" w:bidi="ar-SA"/>
        </w:rPr>
        <w:t>〔责任部门：市工信局〕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坚持全绿电、低成本模式，吸引基础原材料生产企业，推动零部件生产企业落户，做大装备制造业。依托装备制造企业，引进国内外先进技术和优势企业，推进产品精深加工装备、集成化装备、自动化装备开发。</w:t>
      </w:r>
      <w:r>
        <w:rPr>
          <w:rFonts w:hint="default" w:ascii="Times New Roman" w:hAnsi="Times New Roman" w:eastAsia="方正楷体_GBK" w:cs="Times New Roman"/>
          <w:color w:val="000000"/>
          <w:kern w:val="0"/>
          <w:sz w:val="32"/>
          <w:szCs w:val="32"/>
          <w:lang w:val="en" w:eastAsia="zh-CN" w:bidi="ar-SA"/>
        </w:rPr>
        <w:t>〔责任部门：市能源局、市工信局〕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重点强化“五大基地”建设，依托益海嘉里、裕丰、好雨等企业，提升优质稻米产业链，加快打造白城大米加工基地；依托梅花、吉林协联等企业，拓展玉米加工产业链，加快打造白城玉米加工基地；依托吉运、和合、飞鹤等企业，抢抓全省“秸秆变肉暨千万头肉牛”工程有利契机，延伸肉牛屠宰深加工和乳制品加工产业链，加快打造白城肉牛和乳制品加工基地；鼓励引导通榆牧原扩能，进一步延伸猪肉加工产业链，加快打造白城猪肉加工基地；依托天意、洁洁宝等企业，强化特色农产品加工产业链，加快打造白城特色农产品加工基地。</w:t>
      </w:r>
      <w:r>
        <w:rPr>
          <w:rFonts w:hint="default" w:ascii="Times New Roman" w:hAnsi="Times New Roman" w:eastAsia="方正楷体_GBK" w:cs="Times New Roman"/>
          <w:color w:val="000000"/>
          <w:kern w:val="0"/>
          <w:sz w:val="32"/>
          <w:szCs w:val="32"/>
          <w:lang w:val="en" w:eastAsia="zh-CN" w:bidi="ar-SA"/>
        </w:rPr>
        <w:t>〔责任部门：市工信局、市农业农村局、市畜牧中心〕</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支持梅花建设世界发酵行业首个“灯塔工厂”，打造“梅花头部经济示范产业园”。加快推进燕麦精深加工产业园建设，抓紧落地中粮集团700万头生猪屠宰加工项目，协同抓好40万吨柠檬酸一期、吉运20万头、和合10万头肉牛屠宰加工、大安白羽鸡二期、天意辣椒加工扩建等重点项目，做好“粮头食尾”“农头工尾”“畜头肉尾”文章。</w:t>
      </w:r>
      <w:r>
        <w:rPr>
          <w:rFonts w:hint="default" w:ascii="Times New Roman" w:hAnsi="Times New Roman" w:eastAsia="方正楷体_GBK" w:cs="Times New Roman"/>
          <w:color w:val="000000"/>
          <w:kern w:val="0"/>
          <w:sz w:val="32"/>
          <w:szCs w:val="32"/>
          <w:lang w:val="en" w:eastAsia="zh-CN" w:bidi="ar-SA"/>
        </w:rPr>
        <w:t>〔责任部门：市工信局、市农业农村局、市畜牧中心〕</w:t>
      </w:r>
    </w:p>
    <w:p>
      <w:pPr>
        <w:pageBreakBefore w:val="0"/>
        <w:widowControl w:val="0"/>
        <w:kinsoku/>
        <w:wordWrap/>
        <w:overflowPunct/>
        <w:topLinePunct w:val="0"/>
        <w:autoSpaceDE/>
        <w:autoSpaceDN/>
        <w:bidi w:val="0"/>
        <w:adjustRightInd/>
        <w:snapToGrid/>
        <w:spacing w:line="564" w:lineRule="exact"/>
        <w:ind w:firstLine="640"/>
        <w:jc w:val="left"/>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加快释放特色旅游资源，打好绿色“生态牌”、红色“历史牌”，深度融入吉林西部旅游大环线，积极创建省级全域旅游示范区，着力打造特色旅游产业集群。推动嫩江湾创建5A级景区，加快通榆向海生态旅游综合开发、大安铁路文化旅游区等项目建设，</w:t>
      </w:r>
      <w:r>
        <w:rPr>
          <w:rFonts w:hint="default" w:ascii="Times New Roman" w:hAnsi="Times New Roman" w:cs="Times New Roman"/>
          <w:color w:val="000000"/>
          <w:sz w:val="32"/>
          <w:szCs w:val="32"/>
          <w:lang w:val="en-US" w:eastAsia="zh-CN"/>
        </w:rPr>
        <w:t>打造</w:t>
      </w:r>
      <w:r>
        <w:rPr>
          <w:rFonts w:hint="default" w:ascii="Times New Roman" w:hAnsi="Times New Roman" w:eastAsia="方正仿宋_GBK" w:cs="Times New Roman"/>
          <w:color w:val="000000"/>
          <w:sz w:val="32"/>
          <w:szCs w:val="32"/>
          <w:lang w:val="en-US" w:eastAsia="zh-CN"/>
        </w:rPr>
        <w:t>胡力吐深溪里旅游度假区、四海湖渔猎小镇</w:t>
      </w:r>
      <w:r>
        <w:rPr>
          <w:rFonts w:hint="default" w:ascii="Times New Roman" w:hAnsi="Times New Roman" w:eastAsia="方正仿宋_GBK" w:cs="Times New Roman"/>
          <w:color w:val="000000"/>
          <w:sz w:val="32"/>
          <w:szCs w:val="32"/>
        </w:rPr>
        <w:t>、南湖湿地公园、查干浩特等特色旅游景点，谋划“</w:t>
      </w:r>
      <w:r>
        <w:rPr>
          <w:rFonts w:hint="default" w:ascii="Times New Roman" w:hAnsi="Times New Roman" w:eastAsia="方正仿宋_GBK" w:cs="Times New Roman"/>
          <w:color w:val="000000"/>
          <w:sz w:val="32"/>
          <w:szCs w:val="32"/>
          <w:lang w:val="en-US" w:eastAsia="zh-CN"/>
        </w:rPr>
        <w:t>风翎渔村生态民宿</w:t>
      </w:r>
      <w:r>
        <w:rPr>
          <w:rFonts w:hint="default" w:ascii="Times New Roman" w:hAnsi="Times New Roman" w:eastAsia="方正仿宋_GBK" w:cs="Times New Roman"/>
          <w:color w:val="000000"/>
          <w:sz w:val="32"/>
          <w:szCs w:val="32"/>
        </w:rPr>
        <w:t>-嫩江湾-</w:t>
      </w:r>
      <w:r>
        <w:rPr>
          <w:rFonts w:hint="default" w:ascii="Times New Roman" w:hAnsi="Times New Roman" w:eastAsia="方正仿宋_GBK" w:cs="Times New Roman"/>
          <w:color w:val="000000"/>
          <w:sz w:val="32"/>
          <w:szCs w:val="32"/>
          <w:lang w:val="en-US" w:eastAsia="zh-CN"/>
        </w:rPr>
        <w:t>铁路文化旅游区</w:t>
      </w:r>
      <w:r>
        <w:rPr>
          <w:rFonts w:hint="default" w:ascii="Times New Roman" w:hAnsi="Times New Roman" w:eastAsia="方正仿宋_GBK" w:cs="Times New Roman"/>
          <w:color w:val="000000"/>
          <w:sz w:val="32"/>
          <w:szCs w:val="32"/>
        </w:rPr>
        <w:t>-月亮湖”“南湖公园-莫莫格湿地-白沙滩-万宝山国家草原自然公园”精品旅游线路，全面贯通嫩江湾、莫莫格“水陆通道”，促进生态本底转化增值。</w:t>
      </w:r>
      <w:r>
        <w:rPr>
          <w:rFonts w:hint="default" w:ascii="Times New Roman" w:hAnsi="Times New Roman" w:eastAsia="方正楷体_GBK" w:cs="Times New Roman"/>
          <w:color w:val="000000"/>
          <w:kern w:val="0"/>
          <w:sz w:val="32"/>
          <w:szCs w:val="32"/>
          <w:lang w:val="en" w:eastAsia="zh-CN" w:bidi="ar-SA"/>
        </w:rPr>
        <w:t>〔责任部门：市文广旅局、</w:t>
      </w:r>
      <w:r>
        <w:rPr>
          <w:rFonts w:hint="default" w:ascii="Times New Roman" w:hAnsi="Times New Roman" w:eastAsia="方正楷体_GBK" w:cs="Times New Roman"/>
          <w:color w:val="000000"/>
          <w:kern w:val="0"/>
          <w:sz w:val="32"/>
          <w:szCs w:val="32"/>
          <w:lang w:val="en-US" w:eastAsia="zh-CN" w:bidi="ar-SA"/>
        </w:rPr>
        <w:t>市交通局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jc w:val="both"/>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开展冬季冰雪捕鱼季、渔猎冬捕文化节等冬捕经济发展推广系列活动，加快推进“冬捕+”项目建设，全力打造吉林西部“冬捕经济带”。深挖冰钓、冰村、冰街等“十二冰”特色，全力塑造“长白天下雪·玩冰到白城”国内一流冬季冰上旅游目的地品牌。</w:t>
      </w:r>
      <w:r>
        <w:rPr>
          <w:rFonts w:hint="default" w:ascii="Times New Roman" w:hAnsi="Times New Roman" w:eastAsia="方正楷体_GBK" w:cs="Times New Roman"/>
          <w:color w:val="000000"/>
          <w:kern w:val="0"/>
          <w:sz w:val="32"/>
          <w:szCs w:val="32"/>
          <w:lang w:val="en" w:eastAsia="zh-CN" w:bidi="ar-SA"/>
        </w:rPr>
        <w:t>〔责任部门：市发改委、市文广旅局〕</w:t>
      </w:r>
    </w:p>
    <w:p>
      <w:pPr>
        <w:pageBreakBefore w:val="0"/>
        <w:widowControl w:val="0"/>
        <w:kinsoku/>
        <w:wordWrap/>
        <w:overflowPunct/>
        <w:topLinePunct w:val="0"/>
        <w:autoSpaceDE/>
        <w:autoSpaceDN/>
        <w:bidi w:val="0"/>
        <w:adjustRightInd/>
        <w:snapToGrid/>
        <w:spacing w:line="564" w:lineRule="exact"/>
        <w:ind w:firstLine="640"/>
        <w:jc w:val="left"/>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加快辽吉革命旧址、</w:t>
      </w:r>
      <w:r>
        <w:rPr>
          <w:rFonts w:hint="default" w:ascii="Times New Roman" w:hAnsi="Times New Roman" w:eastAsia="方正仿宋_GBK" w:cs="Times New Roman"/>
          <w:color w:val="000000"/>
          <w:sz w:val="32"/>
          <w:szCs w:val="32"/>
          <w:lang w:val="en-US" w:eastAsia="zh-CN"/>
        </w:rPr>
        <w:t>兴隆古街</w:t>
      </w:r>
      <w:r>
        <w:rPr>
          <w:rFonts w:hint="default" w:ascii="Times New Roman" w:hAnsi="Times New Roman" w:eastAsia="方正仿宋_GBK" w:cs="Times New Roman"/>
          <w:color w:val="000000"/>
          <w:sz w:val="32"/>
          <w:szCs w:val="32"/>
        </w:rPr>
        <w:t>2条特色历史文化街区建设，搞好特色旅游活动，加快生成红色旅游景观。推进城四家子古城国家遗址公园建设，完成万福麟宅邸整体修复，研究谋划五间房水库开发，加快树立“千年古城 捺钵胜地”的城市旅游形象，推动域内历史红色旅游资源融合发展，打响湿地生态、草原风情、红色文化、历史遗迹特色旅游品牌。</w:t>
      </w:r>
      <w:r>
        <w:rPr>
          <w:rFonts w:hint="default" w:ascii="Times New Roman" w:hAnsi="Times New Roman" w:eastAsia="方正楷体_GBK" w:cs="Times New Roman"/>
          <w:color w:val="000000"/>
          <w:kern w:val="0"/>
          <w:sz w:val="32"/>
          <w:szCs w:val="32"/>
          <w:lang w:val="en" w:eastAsia="zh-CN" w:bidi="ar-SA"/>
        </w:rPr>
        <w:t>〔责任部门：市文广旅局〕</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2" w:name="_Toc30991"/>
      <w:r>
        <w:rPr>
          <w:rFonts w:hint="default" w:ascii="Times New Roman" w:hAnsi="Times New Roman" w:eastAsia="方正黑体_GBK" w:cs="Times New Roman"/>
          <w:b w:val="0"/>
          <w:bCs/>
          <w:color w:val="000000"/>
          <w:sz w:val="32"/>
          <w:szCs w:val="32"/>
          <w:lang w:eastAsia="zh-CN"/>
        </w:rPr>
        <w:t>三、</w:t>
      </w:r>
      <w:bookmarkEnd w:id="2"/>
      <w:r>
        <w:rPr>
          <w:rFonts w:hint="default" w:ascii="Times New Roman" w:hAnsi="Times New Roman" w:eastAsia="方正黑体_GBK" w:cs="Times New Roman"/>
          <w:b w:val="0"/>
          <w:bCs/>
          <w:color w:val="000000"/>
          <w:sz w:val="32"/>
          <w:szCs w:val="32"/>
          <w:lang w:eastAsia="zh-CN"/>
        </w:rPr>
        <w:t>生态环保</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14.纵深推进</w:t>
      </w:r>
      <w:r>
        <w:rPr>
          <w:rFonts w:hint="default" w:ascii="Times New Roman" w:hAnsi="Times New Roman" w:eastAsia="方正仿宋_GBK" w:cs="Times New Roman"/>
          <w:color w:val="000000"/>
          <w:sz w:val="32"/>
          <w:szCs w:val="32"/>
        </w:rPr>
        <w:t>林草湿生态连通工程，深入开展“十年绿美白城”行动，努力打造“一区三屏三廊”。突出抓好科尔沁沙地北缘综合治理国土绿化试点示范、</w:t>
      </w:r>
      <w:r>
        <w:rPr>
          <w:rFonts w:hint="default" w:ascii="Times New Roman" w:hAnsi="Times New Roman" w:eastAsia="方正仿宋_GBK" w:cs="Times New Roman"/>
          <w:color w:val="000000"/>
          <w:sz w:val="32"/>
          <w:szCs w:val="32"/>
          <w:lang w:val="en-US" w:eastAsia="zh-CN"/>
        </w:rPr>
        <w:t>省级</w:t>
      </w:r>
      <w:r>
        <w:rPr>
          <w:rFonts w:hint="default" w:ascii="Times New Roman" w:hAnsi="Times New Roman" w:eastAsia="方正仿宋_GBK" w:cs="Times New Roman"/>
          <w:color w:val="000000"/>
          <w:sz w:val="32"/>
          <w:szCs w:val="32"/>
        </w:rPr>
        <w:t>林草湿生态连通试点</w:t>
      </w:r>
      <w:r>
        <w:rPr>
          <w:rFonts w:hint="default" w:ascii="Times New Roman" w:hAnsi="Times New Roman" w:eastAsia="方正仿宋_GBK" w:cs="Times New Roman"/>
          <w:color w:val="000000"/>
          <w:sz w:val="32"/>
          <w:szCs w:val="32"/>
          <w:lang w:val="en-US" w:eastAsia="zh-CN"/>
        </w:rPr>
        <w:t>示范</w:t>
      </w:r>
      <w:r>
        <w:rPr>
          <w:rFonts w:hint="default" w:ascii="Times New Roman" w:hAnsi="Times New Roman" w:eastAsia="方正仿宋_GBK" w:cs="Times New Roman"/>
          <w:color w:val="000000"/>
          <w:sz w:val="32"/>
          <w:szCs w:val="32"/>
        </w:rPr>
        <w:t>项目，强化向海、莫莫格、嫩江湾等湿地保护，努力打造林网成格、草地连片、湿地镶嵌、交错互连的生态格局。</w:t>
      </w:r>
      <w:r>
        <w:rPr>
          <w:rFonts w:hint="default" w:ascii="Times New Roman" w:hAnsi="Times New Roman" w:eastAsia="方正楷体_GBK" w:cs="Times New Roman"/>
          <w:color w:val="000000"/>
          <w:kern w:val="0"/>
          <w:sz w:val="32"/>
          <w:szCs w:val="32"/>
          <w:lang w:val="en" w:eastAsia="zh-CN" w:bidi="ar-SA"/>
        </w:rPr>
        <w:t>〔责任部门：市林草局〕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加快推进洮儿河治理（一期）、新开河治理等生态水利工程，深度谋划霍林河全流域综合治理，持续优化水生态环境。</w:t>
      </w:r>
      <w:r>
        <w:rPr>
          <w:rFonts w:hint="default" w:ascii="Times New Roman" w:hAnsi="Times New Roman" w:eastAsia="方正楷体_GBK" w:cs="Times New Roman"/>
          <w:color w:val="000000"/>
          <w:kern w:val="0"/>
          <w:sz w:val="32"/>
          <w:szCs w:val="32"/>
          <w:lang w:val="en" w:eastAsia="zh-CN" w:bidi="ar-SA"/>
        </w:rPr>
        <w:t>〔责任部门：市水利局〕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开展打击毁林、毁草、毁湿专项行动，坚决遏制非法破坏林地、草原、湿地行为。打造林草长制升级版，协同抓好生态环境治理。</w:t>
      </w:r>
      <w:r>
        <w:rPr>
          <w:rFonts w:hint="default" w:ascii="Times New Roman" w:hAnsi="Times New Roman" w:eastAsia="方正楷体_GBK" w:cs="Times New Roman"/>
          <w:color w:val="000000"/>
          <w:kern w:val="0"/>
          <w:sz w:val="32"/>
          <w:szCs w:val="32"/>
          <w:lang w:val="en" w:eastAsia="zh-CN" w:bidi="ar-SA"/>
        </w:rPr>
        <w:t>〔责任部门：市林草局、市生态环境局〕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17.</w:t>
      </w:r>
      <w:r>
        <w:rPr>
          <w:rFonts w:hint="default" w:ascii="Times New Roman" w:hAnsi="Times New Roman" w:eastAsia="方正仿宋_GBK" w:cs="Times New Roman"/>
          <w:color w:val="000000"/>
          <w:sz w:val="32"/>
          <w:szCs w:val="32"/>
        </w:rPr>
        <w:t>坚决打好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蓝天、碧水、黑土地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三大保卫战</w:t>
      </w:r>
      <w:r>
        <w:rPr>
          <w:rFonts w:hint="default" w:ascii="Times New Roman" w:hAnsi="Times New Roman" w:eastAsia="方正仿宋_GBK" w:cs="Times New Roman"/>
          <w:color w:val="000000"/>
          <w:sz w:val="32"/>
          <w:szCs w:val="32"/>
        </w:rPr>
        <w:t>，深化城乡中小河道治理，全面稳定消除黑臭水体。推进工业污水处理、东湖湿地治理，加强莫莫格、向海水体断面整治，全面提升河流生态环境品质。落实秸秆全域禁烧，深入推进燃煤污染、工业污染源、移动污染和扬尘污染治理。</w:t>
      </w:r>
      <w:r>
        <w:rPr>
          <w:rFonts w:hint="default" w:ascii="Times New Roman" w:hAnsi="Times New Roman" w:eastAsia="方正仿宋_GBK" w:cs="Times New Roman"/>
          <w:color w:val="000000"/>
          <w:sz w:val="32"/>
          <w:szCs w:val="32"/>
          <w:lang w:val="en-US" w:eastAsia="zh-CN"/>
        </w:rPr>
        <w:t>强化土壤污染源头防控，加强土壤、地下水重点企业监管，稳步提升地下水环境质量。</w:t>
      </w:r>
      <w:r>
        <w:rPr>
          <w:rFonts w:hint="default" w:ascii="Times New Roman" w:hAnsi="Times New Roman" w:eastAsia="方正楷体_GBK" w:cs="Times New Roman"/>
          <w:color w:val="000000"/>
          <w:kern w:val="0"/>
          <w:sz w:val="32"/>
          <w:szCs w:val="32"/>
          <w:lang w:val="en" w:eastAsia="zh-CN" w:bidi="ar-SA"/>
        </w:rPr>
        <w:t>〔责任部门：市生态环境局、市水利局、</w:t>
      </w:r>
      <w:r>
        <w:rPr>
          <w:rFonts w:hint="default" w:ascii="Times New Roman" w:hAnsi="Times New Roman" w:eastAsia="方正楷体_GBK" w:cs="Times New Roman"/>
          <w:color w:val="000000"/>
          <w:kern w:val="0"/>
          <w:sz w:val="32"/>
          <w:szCs w:val="32"/>
          <w:lang w:val="en-US" w:eastAsia="zh-CN" w:bidi="ar-SA"/>
        </w:rPr>
        <w:t>市住建局、市林草局、市农业农村局、市发改委、市工信局、市公安局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强化建设用地土壤环境风险管控制度，保持土壤质量总体稳定。落实最严格水资源管理制度，明确水资源开发利用总量和用水效率控制。</w:t>
      </w:r>
      <w:r>
        <w:rPr>
          <w:rFonts w:hint="default" w:ascii="Times New Roman" w:hAnsi="Times New Roman" w:eastAsia="方正楷体_GBK" w:cs="Times New Roman"/>
          <w:color w:val="000000"/>
          <w:kern w:val="0"/>
          <w:sz w:val="32"/>
          <w:szCs w:val="32"/>
          <w:lang w:val="en" w:eastAsia="zh-CN" w:bidi="ar-SA"/>
        </w:rPr>
        <w:t>〔责任部门：市自然资源局、市水利局〕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积极开展国家级畜禽养殖粪污整县推进项目，争创“农牧循环”示范市（县）。</w:t>
      </w:r>
      <w:r>
        <w:rPr>
          <w:rFonts w:hint="default" w:ascii="Times New Roman" w:hAnsi="Times New Roman" w:eastAsia="方正楷体_GBK" w:cs="Times New Roman"/>
          <w:color w:val="000000"/>
          <w:kern w:val="0"/>
          <w:sz w:val="32"/>
          <w:szCs w:val="32"/>
          <w:lang w:val="en" w:eastAsia="zh-CN" w:bidi="ar-SA"/>
        </w:rPr>
        <w:t>〔责任部门：市畜牧中心〕</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鼓励企业开发绿色低碳产品，建立健全绿色低碳循环发展的生态经济体系。加快无废城市建设，加强源头管控，深化全域生活垃圾分类，推动生活垃圾减量化、资源化和无害化。强化危险废物监管与利用处置，建设信息交流平台，提升固废资源化利用水平。</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lang w:val="en-US" w:eastAsia="zh-CN" w:bidi="ar-SA"/>
        </w:rPr>
        <w:t>市工信局、市城管局、</w:t>
      </w:r>
      <w:r>
        <w:rPr>
          <w:rFonts w:hint="default" w:ascii="Times New Roman" w:hAnsi="Times New Roman" w:eastAsia="方正楷体_GBK" w:cs="Times New Roman"/>
          <w:color w:val="000000"/>
          <w:kern w:val="0"/>
          <w:sz w:val="32"/>
          <w:szCs w:val="32"/>
          <w:lang w:val="en" w:eastAsia="zh-CN" w:bidi="ar-SA"/>
        </w:rPr>
        <w:t>市生态环境局〕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提升资源利用效率，加快优化能源结构，强化能源“双控”和碳排放强度控制，促进“双碳”目标实现。</w:t>
      </w:r>
      <w:r>
        <w:rPr>
          <w:rFonts w:hint="default" w:ascii="Times New Roman" w:hAnsi="Times New Roman" w:eastAsia="方正楷体_GBK" w:cs="Times New Roman"/>
          <w:color w:val="000000"/>
          <w:kern w:val="0"/>
          <w:sz w:val="32"/>
          <w:szCs w:val="32"/>
          <w:lang w:val="en" w:eastAsia="zh-CN" w:bidi="ar-SA"/>
        </w:rPr>
        <w:t>〔市发改委、</w:t>
      </w:r>
      <w:r>
        <w:rPr>
          <w:rFonts w:hint="default" w:ascii="Times New Roman" w:hAnsi="Times New Roman" w:eastAsia="方正楷体_GBK" w:cs="Times New Roman"/>
          <w:color w:val="000000"/>
          <w:kern w:val="0"/>
          <w:sz w:val="32"/>
          <w:szCs w:val="32"/>
          <w:lang w:val="en-US" w:eastAsia="zh-CN" w:bidi="ar-SA"/>
        </w:rPr>
        <w:t>市能源局、</w:t>
      </w:r>
      <w:r>
        <w:rPr>
          <w:rFonts w:hint="default" w:ascii="Times New Roman" w:hAnsi="Times New Roman" w:eastAsia="方正楷体_GBK" w:cs="Times New Roman"/>
          <w:color w:val="000000"/>
          <w:kern w:val="0"/>
          <w:sz w:val="32"/>
          <w:szCs w:val="32"/>
          <w:lang w:val="en" w:eastAsia="zh-CN" w:bidi="ar-SA"/>
        </w:rPr>
        <w:t>市生态环境局〕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themeColor="text1"/>
          <w:sz w:val="32"/>
          <w:szCs w:val="32"/>
          <w14:textFill>
            <w14:solidFill>
              <w14:schemeClr w14:val="tx1"/>
            </w14:solidFill>
          </w14:textFill>
        </w:rPr>
        <w:t>落实最严格水资源管理制度，明确水资源开发利用总量和用水效率控制。减少工业废水排放。</w:t>
      </w:r>
      <w:r>
        <w:rPr>
          <w:rFonts w:hint="default" w:ascii="Times New Roman" w:hAnsi="Times New Roman" w:eastAsia="方正仿宋_GBK" w:cs="Times New Roman"/>
          <w:color w:val="000000"/>
          <w:sz w:val="32"/>
          <w:szCs w:val="32"/>
        </w:rPr>
        <w:t>实行最严格的节约集约用地制度，提升用地强度。</w:t>
      </w:r>
      <w:r>
        <w:rPr>
          <w:rFonts w:hint="default" w:ascii="Times New Roman" w:hAnsi="Times New Roman" w:eastAsia="方正楷体_GBK" w:cs="Times New Roman"/>
          <w:color w:val="000000"/>
          <w:kern w:val="0"/>
          <w:sz w:val="32"/>
          <w:szCs w:val="32"/>
          <w:lang w:val="en" w:eastAsia="zh-CN" w:bidi="ar-SA"/>
        </w:rPr>
        <w:t>〔责任部门：市自然资源局〕</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3" w:name="_Toc28236"/>
      <w:r>
        <w:rPr>
          <w:rFonts w:hint="default" w:ascii="Times New Roman" w:hAnsi="Times New Roman" w:eastAsia="方正黑体_GBK" w:cs="Times New Roman"/>
          <w:b w:val="0"/>
          <w:bCs/>
          <w:color w:val="000000"/>
          <w:sz w:val="32"/>
          <w:szCs w:val="32"/>
          <w:lang w:eastAsia="zh-CN"/>
        </w:rPr>
        <w:t>四、</w:t>
      </w:r>
      <w:bookmarkEnd w:id="3"/>
      <w:r>
        <w:rPr>
          <w:rFonts w:hint="default" w:ascii="Times New Roman" w:hAnsi="Times New Roman" w:eastAsia="方正黑体_GBK" w:cs="Times New Roman"/>
          <w:b w:val="0"/>
          <w:bCs/>
          <w:color w:val="000000"/>
          <w:sz w:val="32"/>
          <w:szCs w:val="32"/>
          <w:lang w:eastAsia="zh-CN"/>
        </w:rPr>
        <w:t>项目建设</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坚持项目为王原则，立足白城富集的新能源资源，发挥低成本用电、可持续供电、低碳税绿电等优势，加快打造通榆、洮北两个零碳产业园，</w:t>
      </w:r>
      <w:r>
        <w:rPr>
          <w:rFonts w:hint="default" w:ascii="Times New Roman" w:hAnsi="Times New Roman" w:eastAsia="方正仿宋_GBK" w:cs="Times New Roman"/>
          <w:bCs/>
          <w:color w:val="000000"/>
          <w:sz w:val="32"/>
          <w:szCs w:val="32"/>
        </w:rPr>
        <w:t>充分发挥园区基础、政策优势，筑巢引凤，吸引资本、人才、技术等要素集聚。</w:t>
      </w:r>
      <w:r>
        <w:rPr>
          <w:rFonts w:hint="default" w:ascii="Times New Roman" w:hAnsi="Times New Roman" w:eastAsia="方正楷体_GBK" w:cs="Times New Roman"/>
          <w:color w:val="000000"/>
          <w:kern w:val="0"/>
          <w:sz w:val="32"/>
          <w:szCs w:val="32"/>
          <w:lang w:val="en" w:eastAsia="zh-CN" w:bidi="ar-SA"/>
        </w:rPr>
        <w:t>〔责任部门：市发改委、市能源局〕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加强吉浙对口合作，主动对接全国产业链供应链，深化建链、补链、延链、强链，推动央企再布局、民企大发展、外企快涌入，更好地吸引大项目，集聚资源，进一步夯实产业基础、壮大产业规模。</w:t>
      </w:r>
      <w:r>
        <w:rPr>
          <w:rFonts w:hint="default" w:ascii="Times New Roman" w:hAnsi="Times New Roman" w:eastAsia="方正楷体_GBK" w:cs="Times New Roman"/>
          <w:color w:val="000000"/>
          <w:kern w:val="0"/>
          <w:sz w:val="32"/>
          <w:szCs w:val="32"/>
          <w:lang w:val="en" w:eastAsia="zh-CN" w:bidi="ar-SA"/>
        </w:rPr>
        <w:t>〔责任部门：市发改委、市商务局、市工信局〕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持续开展项目攻坚行动，加大项目推进力度，确保项目建设提速、提质、提效。</w:t>
      </w:r>
      <w:r>
        <w:rPr>
          <w:rFonts w:hint="default" w:ascii="Times New Roman" w:hAnsi="Times New Roman" w:eastAsia="方正仿宋_GBK" w:cs="Times New Roman"/>
          <w:sz w:val="32"/>
          <w:szCs w:val="32"/>
        </w:rPr>
        <w:t>着力抓好“5+3”亿元以上重大产业项目谋划、招引、实施，重点推进投资100亿元的梅花扩建、投资63亿元的大安风光制绿氢合成氨一体化、投资50.6亿元的通榆中船装备、投资76亿元的洮南万华禾香生态板、投资53亿元的洮北2×66万千瓦高效清洁燃煤机组等重大产业项目，带动全市重大产业项目建设，持续不断扩大投资规模，形成产值破千亿的重大产业集群。</w:t>
      </w:r>
      <w:r>
        <w:rPr>
          <w:rFonts w:hint="default" w:ascii="Times New Roman" w:hAnsi="Times New Roman" w:eastAsia="方正楷体_GBK" w:cs="Times New Roman"/>
          <w:color w:val="000000"/>
          <w:kern w:val="0"/>
          <w:sz w:val="32"/>
          <w:szCs w:val="32"/>
          <w:lang w:val="en" w:eastAsia="zh-CN" w:bidi="ar-SA"/>
        </w:rPr>
        <w:t>〔责任部门：市发改委〕</w:t>
      </w:r>
    </w:p>
    <w:p>
      <w:pPr>
        <w:pStyle w:val="8"/>
        <w:pageBreakBefore w:val="0"/>
        <w:widowControl w:val="0"/>
        <w:kinsoku/>
        <w:wordWrap/>
        <w:overflowPunct/>
        <w:topLinePunct w:val="0"/>
        <w:autoSpaceDE/>
        <w:autoSpaceDN/>
        <w:bidi w:val="0"/>
        <w:adjustRightInd/>
        <w:snapToGrid/>
        <w:spacing w:line="564" w:lineRule="exact"/>
        <w:ind w:firstLine="640" w:firstLineChars="20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持续</w:t>
      </w:r>
      <w:r>
        <w:rPr>
          <w:rFonts w:hint="default" w:ascii="Times New Roman" w:hAnsi="Times New Roman" w:eastAsia="方正仿宋_GBK" w:cs="Times New Roman"/>
          <w:color w:val="000000"/>
          <w:sz w:val="32"/>
          <w:szCs w:val="32"/>
          <w:lang w:val="en-US" w:eastAsia="zh-CN"/>
        </w:rPr>
        <w:t>推进政府职能转变</w:t>
      </w:r>
      <w:r>
        <w:rPr>
          <w:rFonts w:hint="default" w:ascii="Times New Roman" w:hAnsi="Times New Roman" w:eastAsia="方正仿宋_GBK" w:cs="Times New Roman"/>
          <w:color w:val="000000"/>
          <w:sz w:val="32"/>
          <w:szCs w:val="32"/>
        </w:rPr>
        <w:t>，充分发挥市县两级项目中心作用，</w:t>
      </w:r>
      <w:r>
        <w:rPr>
          <w:rFonts w:hint="default" w:ascii="Times New Roman" w:hAnsi="Times New Roman" w:eastAsia="方正仿宋_GBK" w:cs="Times New Roman"/>
          <w:sz w:val="32"/>
          <w:szCs w:val="32"/>
        </w:rPr>
        <w:t>重点完善领导包保、秘书服务、入库纳统“三项服务”。</w:t>
      </w:r>
      <w:r>
        <w:rPr>
          <w:rFonts w:hint="default" w:ascii="Times New Roman" w:hAnsi="Times New Roman" w:eastAsia="方正仿宋_GBK" w:cs="Times New Roman"/>
          <w:color w:val="000000"/>
          <w:kern w:val="0"/>
          <w:sz w:val="32"/>
          <w:szCs w:val="32"/>
          <w:lang w:val="en"/>
        </w:rPr>
        <w:t xml:space="preserve"> </w:t>
      </w:r>
      <w:r>
        <w:rPr>
          <w:rFonts w:hint="default" w:ascii="Times New Roman" w:hAnsi="Times New Roman" w:eastAsia="方正楷体_GBK" w:cs="Times New Roman"/>
          <w:color w:val="000000"/>
          <w:kern w:val="0"/>
          <w:sz w:val="32"/>
          <w:szCs w:val="32"/>
          <w:lang w:val="en" w:eastAsia="zh-CN" w:bidi="ar-SA"/>
        </w:rPr>
        <w:t>〔责任部门：市政数局、市发改委〕</w:t>
      </w:r>
    </w:p>
    <w:p>
      <w:pPr>
        <w:pStyle w:val="8"/>
        <w:pageBreakBefore w:val="0"/>
        <w:widowControl w:val="0"/>
        <w:kinsoku/>
        <w:wordWrap/>
        <w:overflowPunct/>
        <w:topLinePunct w:val="0"/>
        <w:autoSpaceDE/>
        <w:autoSpaceDN/>
        <w:bidi w:val="0"/>
        <w:adjustRightInd/>
        <w:snapToGrid/>
        <w:spacing w:line="564" w:lineRule="exact"/>
        <w:ind w:firstLine="640" w:firstLineChars="20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继续发挥领导包保重点项目作用，</w:t>
      </w:r>
      <w:r>
        <w:rPr>
          <w:rFonts w:hint="default" w:ascii="Times New Roman" w:hAnsi="Times New Roman" w:eastAsia="方正仿宋_GBK" w:cs="Times New Roman"/>
          <w:color w:val="000000"/>
          <w:sz w:val="32"/>
          <w:szCs w:val="32"/>
        </w:rPr>
        <w:t>实行重点项目手册化管理，结合全市开展的“走基层大调研，面对面解难题”活动，从项目洽谈到竣工，全程提供优质服务。强化项目入库纳统，实现应统尽统、颗粒归仓。</w:t>
      </w:r>
      <w:r>
        <w:rPr>
          <w:rFonts w:hint="default" w:ascii="Times New Roman" w:hAnsi="Times New Roman" w:eastAsia="方正楷体_GBK" w:cs="Times New Roman"/>
          <w:color w:val="000000"/>
          <w:kern w:val="0"/>
          <w:sz w:val="32"/>
          <w:szCs w:val="32"/>
          <w:lang w:val="en" w:eastAsia="zh-CN" w:bidi="ar-SA"/>
        </w:rPr>
        <w:t>〔责任部门：市发改委〕</w:t>
      </w:r>
    </w:p>
    <w:p>
      <w:pPr>
        <w:pStyle w:val="8"/>
        <w:pageBreakBefore w:val="0"/>
        <w:widowControl w:val="0"/>
        <w:kinsoku/>
        <w:wordWrap/>
        <w:overflowPunct/>
        <w:topLinePunct w:val="0"/>
        <w:autoSpaceDE/>
        <w:autoSpaceDN/>
        <w:bidi w:val="0"/>
        <w:adjustRightInd/>
        <w:snapToGrid/>
        <w:spacing w:line="564" w:lineRule="exact"/>
        <w:ind w:firstLine="640" w:firstLineChars="20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引导民营经济健康发展，实施更多面向中小企业的普惠性政策，全面构建亲清统一的新型政商关系。</w:t>
      </w:r>
      <w:r>
        <w:rPr>
          <w:rFonts w:hint="default" w:ascii="Times New Roman" w:hAnsi="Times New Roman" w:eastAsia="方正楷体_GBK" w:cs="Times New Roman"/>
          <w:color w:val="000000"/>
          <w:kern w:val="0"/>
          <w:sz w:val="32"/>
          <w:szCs w:val="32"/>
          <w:lang w:val="en" w:eastAsia="zh-CN" w:bidi="ar-SA"/>
        </w:rPr>
        <w:t>〔责任部门：市工信局〕</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4" w:name="_Toc22779"/>
      <w:r>
        <w:rPr>
          <w:rFonts w:hint="default" w:ascii="Times New Roman" w:hAnsi="Times New Roman" w:eastAsia="方正黑体_GBK" w:cs="Times New Roman"/>
          <w:b w:val="0"/>
          <w:bCs/>
          <w:color w:val="000000"/>
          <w:sz w:val="32"/>
          <w:szCs w:val="32"/>
          <w:lang w:eastAsia="zh-CN"/>
        </w:rPr>
        <w:t>五、城乡</w:t>
      </w:r>
      <w:bookmarkEnd w:id="4"/>
      <w:r>
        <w:rPr>
          <w:rFonts w:hint="default" w:ascii="Times New Roman" w:hAnsi="Times New Roman" w:eastAsia="方正黑体_GBK" w:cs="Times New Roman"/>
          <w:b w:val="0"/>
          <w:bCs/>
          <w:color w:val="000000"/>
          <w:sz w:val="32"/>
          <w:szCs w:val="32"/>
          <w:lang w:eastAsia="zh-CN"/>
        </w:rPr>
        <w:t>建设</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rPr>
        <w:t>以“扩绿引水”为重点，抓好城市更新，选取白蜡、云杉、银中杨等本地树种，实施老城区景观绿化提升工程，抓好重点街路绿化和街角小游园建设。</w:t>
      </w:r>
      <w:r>
        <w:rPr>
          <w:rFonts w:hint="default" w:ascii="Times New Roman" w:hAnsi="Times New Roman" w:eastAsia="方正楷体_GBK" w:cs="Times New Roman"/>
          <w:color w:val="000000"/>
          <w:kern w:val="0"/>
          <w:sz w:val="32"/>
          <w:szCs w:val="32"/>
          <w:lang w:val="en" w:eastAsia="zh-CN" w:bidi="ar-SA"/>
        </w:rPr>
        <w:t>〔责任部门：市住建局〕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坚持以水兴城，启动引水入城西部工程，</w:t>
      </w:r>
      <w:bookmarkStart w:id="5" w:name="_Hlk142982025"/>
      <w:r>
        <w:rPr>
          <w:rFonts w:hint="default" w:ascii="Times New Roman" w:hAnsi="Times New Roman" w:eastAsia="方正仿宋_GBK" w:cs="Times New Roman"/>
          <w:color w:val="000000"/>
          <w:sz w:val="32"/>
          <w:szCs w:val="32"/>
        </w:rPr>
        <w:t>构</w:t>
      </w:r>
      <w:bookmarkEnd w:id="5"/>
      <w:r>
        <w:rPr>
          <w:rFonts w:hint="default" w:ascii="Times New Roman" w:hAnsi="Times New Roman" w:eastAsia="方正仿宋_GBK" w:cs="Times New Roman"/>
          <w:color w:val="000000"/>
          <w:sz w:val="32"/>
          <w:szCs w:val="32"/>
        </w:rPr>
        <w:t>建“五湖相拥”城市水系。以“走遍白城”为载体，着力提升城市精细化水平。</w:t>
      </w:r>
      <w:r>
        <w:rPr>
          <w:rFonts w:hint="default" w:ascii="Times New Roman" w:hAnsi="Times New Roman" w:eastAsia="方正楷体_GBK" w:cs="Times New Roman"/>
          <w:color w:val="000000"/>
          <w:kern w:val="0"/>
          <w:sz w:val="32"/>
          <w:szCs w:val="32"/>
          <w:lang w:val="en" w:eastAsia="zh-CN" w:bidi="ar-SA"/>
        </w:rPr>
        <w:t>〔责任部门：市住建局、市水利局〕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rPr>
        <w:t>融入智慧城市元素，实施“互联网+城管”计划，创新城市管理“必查制”，完善街（路、巷）长制，常态化落实“城市体检”，高效解决城市乱象。</w:t>
      </w:r>
      <w:r>
        <w:rPr>
          <w:rFonts w:hint="default" w:ascii="Times New Roman" w:hAnsi="Times New Roman" w:eastAsia="方正楷体_GBK" w:cs="Times New Roman"/>
          <w:color w:val="000000"/>
          <w:kern w:val="0"/>
          <w:sz w:val="32"/>
          <w:szCs w:val="32"/>
          <w:lang w:val="en" w:eastAsia="zh-CN" w:bidi="ar-SA"/>
        </w:rPr>
        <w:t>〔责任部门：市住建局、市城管局、市政数局〕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32.</w:t>
      </w:r>
      <w:r>
        <w:rPr>
          <w:rFonts w:hint="default" w:ascii="Times New Roman" w:hAnsi="Times New Roman" w:eastAsia="方正仿宋_GBK" w:cs="Times New Roman"/>
          <w:color w:val="000000"/>
          <w:sz w:val="32"/>
          <w:szCs w:val="32"/>
        </w:rPr>
        <w:t>强化经营城市理念，通过市场化途径鼓励社会资本通过特许经营等方式参与城市基础设施建设和运营，繁荣城乡经济，实现共建共享。</w:t>
      </w:r>
      <w:r>
        <w:rPr>
          <w:rFonts w:hint="default" w:ascii="Times New Roman" w:hAnsi="Times New Roman" w:eastAsia="方正楷体_GBK" w:cs="Times New Roman"/>
          <w:color w:val="000000"/>
          <w:kern w:val="0"/>
          <w:sz w:val="32"/>
          <w:szCs w:val="32"/>
          <w:lang w:val="en" w:eastAsia="zh-CN" w:bidi="ar-SA"/>
        </w:rPr>
        <w:t>〔责任部门：市住建局〕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33.</w:t>
      </w:r>
      <w:r>
        <w:rPr>
          <w:rFonts w:hint="default" w:ascii="Times New Roman" w:hAnsi="Times New Roman" w:eastAsia="方正仿宋_GBK" w:cs="Times New Roman"/>
          <w:color w:val="000000"/>
          <w:sz w:val="32"/>
          <w:szCs w:val="32"/>
        </w:rPr>
        <w:t>升级打造“平安畅通”工程，全面向县域城区铺开，集中抓好交通组织优化和设施建设，推进</w:t>
      </w:r>
      <w:r>
        <w:rPr>
          <w:rFonts w:hint="default" w:ascii="Times New Roman" w:hAnsi="Times New Roman" w:eastAsia="方正仿宋_GBK" w:cs="Times New Roman"/>
          <w:color w:val="000000"/>
          <w:sz w:val="32"/>
          <w:szCs w:val="32"/>
          <w:lang w:val="en-US" w:eastAsia="zh-CN"/>
        </w:rPr>
        <w:t>阳光</w:t>
      </w:r>
      <w:r>
        <w:rPr>
          <w:rFonts w:hint="default" w:ascii="Times New Roman" w:hAnsi="Times New Roman" w:eastAsia="方正仿宋_GBK" w:cs="Times New Roman"/>
          <w:color w:val="000000"/>
          <w:sz w:val="32"/>
          <w:szCs w:val="32"/>
        </w:rPr>
        <w:t>街、</w:t>
      </w:r>
      <w:r>
        <w:rPr>
          <w:rFonts w:hint="default" w:ascii="Times New Roman" w:hAnsi="Times New Roman" w:eastAsia="方正仿宋_GBK" w:cs="Times New Roman"/>
          <w:color w:val="000000"/>
          <w:sz w:val="32"/>
          <w:szCs w:val="32"/>
          <w:lang w:val="en-US" w:eastAsia="zh-CN"/>
        </w:rPr>
        <w:t>庆学路</w:t>
      </w:r>
      <w:r>
        <w:rPr>
          <w:rFonts w:hint="default" w:ascii="Times New Roman" w:hAnsi="Times New Roman" w:eastAsia="方正仿宋_GBK" w:cs="Times New Roman"/>
          <w:color w:val="000000"/>
          <w:sz w:val="32"/>
          <w:szCs w:val="32"/>
        </w:rPr>
        <w:t>等8条“断头路”，建成“南互通”</w:t>
      </w:r>
      <w:r>
        <w:rPr>
          <w:rFonts w:hint="default" w:ascii="Times New Roman" w:hAnsi="Times New Roman" w:eastAsia="方正仿宋_GBK" w:cs="Times New Roman"/>
          <w:color w:val="000000"/>
          <w:sz w:val="32"/>
          <w:szCs w:val="32"/>
          <w:lang w:val="en-US" w:eastAsia="zh-CN"/>
        </w:rPr>
        <w:t>和国道嫩双通榆绕越线</w:t>
      </w:r>
      <w:r>
        <w:rPr>
          <w:rFonts w:hint="default" w:ascii="Times New Roman" w:hAnsi="Times New Roman" w:eastAsia="方正仿宋_GBK" w:cs="Times New Roman"/>
          <w:color w:val="000000"/>
          <w:sz w:val="32"/>
          <w:szCs w:val="32"/>
        </w:rPr>
        <w:t>工程，强化非机动车管理，推动停车场改造提升项目，让群众出行更安全便捷。</w:t>
      </w:r>
      <w:r>
        <w:rPr>
          <w:rFonts w:hint="default" w:ascii="Times New Roman" w:hAnsi="Times New Roman" w:eastAsia="方正楷体_GBK" w:cs="Times New Roman"/>
          <w:color w:val="000000"/>
          <w:kern w:val="0"/>
          <w:sz w:val="32"/>
          <w:szCs w:val="32"/>
          <w:lang w:val="en" w:eastAsia="zh-CN" w:bidi="ar-SA"/>
        </w:rPr>
        <w:t>〔责任部门：市交通局、市住建局〕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34.</w:t>
      </w:r>
      <w:r>
        <w:rPr>
          <w:rFonts w:hint="default" w:ascii="Times New Roman" w:hAnsi="Times New Roman" w:eastAsia="方正仿宋_GBK" w:cs="Times New Roman"/>
          <w:color w:val="000000"/>
          <w:sz w:val="32"/>
          <w:szCs w:val="32"/>
        </w:rPr>
        <w:t>以加快建设城乡基础设施为抓手，推动污水和垃圾收集处理、冷链物流、农贸市场等城乡公共设施一体化布局、一体化建设、一体化运营，进一步完善电力、燃气、通讯等市政管网，加快布局建设5G基站、充电桩等，提高城市综合承载力。</w:t>
      </w:r>
      <w:r>
        <w:rPr>
          <w:rFonts w:hint="default" w:ascii="Times New Roman" w:hAnsi="Times New Roman" w:eastAsia="方正楷体_GBK" w:cs="Times New Roman"/>
          <w:color w:val="000000"/>
          <w:kern w:val="0"/>
          <w:sz w:val="32"/>
          <w:szCs w:val="32"/>
          <w:lang w:val="en" w:eastAsia="zh-CN" w:bidi="ar-SA"/>
        </w:rPr>
        <w:t>〔责任部门：市住建局、市能源局、市政数局〕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35.</w:t>
      </w:r>
      <w:r>
        <w:rPr>
          <w:rFonts w:hint="default" w:ascii="Times New Roman" w:hAnsi="Times New Roman" w:eastAsia="方正仿宋_GBK" w:cs="Times New Roman"/>
          <w:color w:val="000000"/>
          <w:sz w:val="32"/>
          <w:szCs w:val="32"/>
        </w:rPr>
        <w:t>持续巩固拓展脱贫攻坚成果。健全防止返贫监测帮扶机制，继续对脱贫乡镇、脱贫村、脱贫人口开展监测，持续跟踪收入变化和“两不愁三保障”巩固情况，及时发现、及时帮扶、动态清零。实行“四网监测”，及时查缺补漏，确保政策落实到位、群众持续增收。推进脱贫巩固与乡村振兴重点任务的有机衔接，形成“扬长”与“补短”相结合的可持续乡村发展模式。</w:t>
      </w:r>
      <w:r>
        <w:rPr>
          <w:rFonts w:hint="default" w:ascii="Times New Roman" w:hAnsi="Times New Roman" w:eastAsia="方正楷体_GBK" w:cs="Times New Roman"/>
          <w:color w:val="000000"/>
          <w:kern w:val="0"/>
          <w:sz w:val="32"/>
          <w:szCs w:val="32"/>
          <w:lang w:val="en" w:eastAsia="zh-CN" w:bidi="ar-SA"/>
        </w:rPr>
        <w:t>〔责任部门：市乡村振兴局〕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36.</w:t>
      </w:r>
      <w:r>
        <w:rPr>
          <w:rFonts w:hint="default" w:ascii="Times New Roman" w:hAnsi="Times New Roman" w:eastAsia="方正仿宋_GBK" w:cs="Times New Roman"/>
          <w:color w:val="000000"/>
          <w:sz w:val="32"/>
          <w:szCs w:val="32"/>
        </w:rPr>
        <w:t>全面推进乡村产业兴旺。促进乡村产业建设，加快发展庭院经济、农村电商、乡村旅游、肉牛等特色产业，拓展“双带七增”模式，提升龙头企业、合作社带富能力，持续壮大扶贫车间，突出抓好光伏、庭院经济两个重点产业，积极推进新能源乡村振兴工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大力发展庭院养殖、辣椒种植，支持扶贫产业发展继续成为乡村振兴发展的主要驱动力。</w:t>
      </w:r>
      <w:r>
        <w:rPr>
          <w:rFonts w:hint="default" w:ascii="Times New Roman" w:hAnsi="Times New Roman" w:eastAsia="方正楷体_GBK" w:cs="Times New Roman"/>
          <w:color w:val="000000"/>
          <w:kern w:val="0"/>
          <w:sz w:val="32"/>
          <w:szCs w:val="32"/>
          <w:lang w:val="en" w:eastAsia="zh-CN" w:bidi="ar-SA"/>
        </w:rPr>
        <w:t>〔责任部门：市乡村振兴局、</w:t>
      </w:r>
      <w:r>
        <w:rPr>
          <w:rFonts w:hint="default" w:ascii="Times New Roman" w:hAnsi="Times New Roman" w:eastAsia="方正楷体_GBK" w:cs="Times New Roman"/>
          <w:color w:val="000000"/>
          <w:kern w:val="0"/>
          <w:sz w:val="32"/>
          <w:szCs w:val="32"/>
          <w:lang w:val="en-US" w:eastAsia="zh-CN" w:bidi="ar-SA"/>
        </w:rPr>
        <w:t>市农业农村局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37.</w:t>
      </w:r>
      <w:r>
        <w:rPr>
          <w:rFonts w:hint="default" w:ascii="Times New Roman" w:hAnsi="Times New Roman" w:eastAsia="方正仿宋_GBK" w:cs="Times New Roman"/>
          <w:color w:val="000000"/>
          <w:sz w:val="32"/>
          <w:szCs w:val="32"/>
        </w:rPr>
        <w:t>促进乡村建设，深入实施农村人居环境整治工程，提升农村人居环境“五化”水平，健全完善长效管护机制，全面巩固好179个村创建成果，建设幸福宜居的美丽乡村。落实“千村示范”创建要求，高质量打造85个省级“千村美丽”村、1</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个“百村示范”村。</w:t>
      </w:r>
      <w:r>
        <w:rPr>
          <w:rFonts w:hint="default" w:ascii="Times New Roman" w:hAnsi="Times New Roman" w:eastAsia="方正楷体_GBK" w:cs="Times New Roman"/>
          <w:color w:val="000000"/>
          <w:kern w:val="0"/>
          <w:sz w:val="32"/>
          <w:szCs w:val="32"/>
          <w:lang w:val="en" w:eastAsia="zh-CN" w:bidi="ar-SA"/>
        </w:rPr>
        <w:t>〔责任部门：市农业农村局、市乡村振兴局〕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38.</w:t>
      </w:r>
      <w:r>
        <w:rPr>
          <w:rFonts w:hint="default" w:ascii="Times New Roman" w:hAnsi="Times New Roman" w:eastAsia="方正仿宋_GBK" w:cs="Times New Roman"/>
          <w:color w:val="000000"/>
          <w:sz w:val="32"/>
          <w:szCs w:val="32"/>
        </w:rPr>
        <w:t>促进乡村组织建设，健全自治、法治、德治相结合的乡村治理体系。发挥“一村一辅警”、人民调解员作用，构建平安乡村。</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lang w:val="en-US" w:eastAsia="zh-CN" w:bidi="ar-SA"/>
        </w:rPr>
        <w:t>市委组织部、市委政法委</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39.</w:t>
      </w:r>
      <w:r>
        <w:rPr>
          <w:rFonts w:hint="default" w:ascii="Times New Roman" w:hAnsi="Times New Roman" w:eastAsia="方正仿宋_GBK" w:cs="Times New Roman"/>
          <w:color w:val="000000"/>
          <w:sz w:val="32"/>
          <w:szCs w:val="32"/>
        </w:rPr>
        <w:t>加强乡风文明建设。推广“小积分</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大德治”做法，开展“文明家庭”“文明村镇”等创建活动，引领形成文明乡风、淳朴民风、良好家风。</w:t>
      </w:r>
      <w:r>
        <w:rPr>
          <w:rFonts w:hint="default" w:ascii="Times New Roman" w:hAnsi="Times New Roman" w:eastAsia="方正楷体_GBK" w:cs="Times New Roman"/>
          <w:color w:val="000000"/>
          <w:kern w:val="0"/>
          <w:sz w:val="32"/>
          <w:szCs w:val="32"/>
          <w:lang w:val="en" w:eastAsia="zh-CN" w:bidi="ar-SA"/>
        </w:rPr>
        <w:t>〔责任部门：市委宣传部、市乡村振兴局〕</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6" w:name="_Toc24295"/>
      <w:r>
        <w:rPr>
          <w:rFonts w:hint="default" w:ascii="Times New Roman" w:hAnsi="Times New Roman" w:eastAsia="方正黑体_GBK" w:cs="Times New Roman"/>
          <w:b w:val="0"/>
          <w:bCs/>
          <w:color w:val="000000"/>
          <w:sz w:val="32"/>
          <w:szCs w:val="32"/>
          <w:lang w:eastAsia="zh-CN"/>
        </w:rPr>
        <w:t>六、改革</w:t>
      </w:r>
      <w:bookmarkEnd w:id="6"/>
      <w:r>
        <w:rPr>
          <w:rFonts w:hint="default" w:ascii="Times New Roman" w:hAnsi="Times New Roman" w:eastAsia="方正黑体_GBK" w:cs="Times New Roman"/>
          <w:b w:val="0"/>
          <w:bCs/>
          <w:color w:val="000000"/>
          <w:sz w:val="32"/>
          <w:szCs w:val="32"/>
          <w:lang w:eastAsia="zh-CN"/>
        </w:rPr>
        <w:t>开放</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40.</w:t>
      </w:r>
      <w:r>
        <w:rPr>
          <w:rFonts w:hint="default" w:ascii="Times New Roman" w:hAnsi="Times New Roman" w:eastAsia="方正仿宋_GBK" w:cs="Times New Roman"/>
          <w:color w:val="000000"/>
          <w:sz w:val="32"/>
          <w:szCs w:val="32"/>
        </w:rPr>
        <w:t>完善财税金融体制改革，创新财政支持方式，引导激励社会资本和金融资本加大投入。强化政府性债务管理，完善政府性债务风险预警机制。</w:t>
      </w:r>
      <w:r>
        <w:rPr>
          <w:rFonts w:hint="default" w:ascii="Times New Roman" w:hAnsi="Times New Roman" w:eastAsia="方正楷体_GBK" w:cs="Times New Roman"/>
          <w:color w:val="000000"/>
          <w:kern w:val="0"/>
          <w:sz w:val="32"/>
          <w:szCs w:val="32"/>
          <w:lang w:val="en" w:eastAsia="zh-CN" w:bidi="ar-SA"/>
        </w:rPr>
        <w:t>〔责任部</w:t>
      </w:r>
      <w:r>
        <w:rPr>
          <w:rFonts w:hint="default" w:ascii="Times New Roman" w:hAnsi="Times New Roman" w:eastAsia="方正楷体_GBK" w:cs="Times New Roman"/>
          <w:color w:val="000000"/>
          <w:kern w:val="0"/>
          <w:sz w:val="32"/>
          <w:szCs w:val="32"/>
          <w:lang w:val="en-US" w:eastAsia="zh-CN" w:bidi="ar-SA"/>
        </w:rPr>
        <w:t>门：</w:t>
      </w:r>
      <w:r>
        <w:rPr>
          <w:rFonts w:hint="default" w:ascii="Times New Roman" w:hAnsi="Times New Roman" w:eastAsia="方正楷体_GBK" w:cs="Times New Roman"/>
          <w:color w:val="000000"/>
          <w:kern w:val="0"/>
          <w:sz w:val="32"/>
          <w:szCs w:val="32"/>
          <w:lang w:val="en" w:eastAsia="zh-CN" w:bidi="ar-SA"/>
        </w:rPr>
        <w:t>市财政局、市金融办、市税务局〕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41.</w:t>
      </w:r>
      <w:r>
        <w:rPr>
          <w:rFonts w:hint="default" w:ascii="Times New Roman" w:hAnsi="Times New Roman" w:eastAsia="方正仿宋_GBK" w:cs="Times New Roman"/>
          <w:color w:val="000000"/>
          <w:sz w:val="32"/>
          <w:szCs w:val="32"/>
        </w:rPr>
        <w:t>健全金融市场体系，丰富金融机构体系，发展普惠金融和多业态中小微金融组织，构建多层次、广覆盖、有差异的银行机构体系。持续推进国家普惠金融发展示范区建设。</w:t>
      </w:r>
      <w:r>
        <w:rPr>
          <w:rFonts w:hint="default" w:ascii="Times New Roman" w:hAnsi="Times New Roman" w:eastAsia="方正楷体_GBK" w:cs="Times New Roman"/>
          <w:color w:val="000000"/>
          <w:kern w:val="0"/>
          <w:sz w:val="32"/>
          <w:szCs w:val="32"/>
          <w:lang w:val="en" w:eastAsia="zh-CN" w:bidi="ar-SA"/>
        </w:rPr>
        <w:t>〔责任部门：市金融办、市银保监局〕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42.</w:t>
      </w:r>
      <w:r>
        <w:rPr>
          <w:rFonts w:hint="default" w:ascii="Times New Roman" w:hAnsi="Times New Roman" w:eastAsia="方正仿宋_GBK" w:cs="Times New Roman"/>
          <w:color w:val="000000"/>
          <w:sz w:val="32"/>
          <w:szCs w:val="32"/>
        </w:rPr>
        <w:t>创新加强国有和集体资产规范管理，纵深推进农村“三资”清理。</w:t>
      </w:r>
      <w:r>
        <w:rPr>
          <w:rFonts w:hint="default" w:ascii="Times New Roman" w:hAnsi="Times New Roman" w:eastAsia="方正楷体_GBK" w:cs="Times New Roman"/>
          <w:color w:val="000000"/>
          <w:kern w:val="0"/>
          <w:sz w:val="32"/>
          <w:szCs w:val="32"/>
          <w:lang w:val="en" w:eastAsia="zh-CN" w:bidi="ar-SA"/>
        </w:rPr>
        <w:t>〔责任部门：市财政局、市农业农村局〕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43.</w:t>
      </w:r>
      <w:r>
        <w:rPr>
          <w:rFonts w:hint="default" w:ascii="Times New Roman" w:hAnsi="Times New Roman" w:eastAsia="方正仿宋_GBK" w:cs="Times New Roman"/>
          <w:color w:val="000000"/>
          <w:sz w:val="32"/>
          <w:szCs w:val="32"/>
        </w:rPr>
        <w:t>聚焦数字化改革，推动各系统各部门核心业务和重大任务流程再造、协同高效，推动数字化党建、数字化产业、数字化创新、数字化治理、数字化民生等走在前列，建设数字政府。</w:t>
      </w:r>
      <w:r>
        <w:rPr>
          <w:rFonts w:hint="default" w:ascii="Times New Roman" w:hAnsi="Times New Roman" w:eastAsia="方正楷体_GBK" w:cs="Times New Roman"/>
          <w:color w:val="000000"/>
          <w:kern w:val="0"/>
          <w:sz w:val="32"/>
          <w:szCs w:val="32"/>
          <w:lang w:val="en" w:eastAsia="zh-CN" w:bidi="ar-SA"/>
        </w:rPr>
        <w:t>〔责任部门：市政数局〕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44.</w:t>
      </w:r>
      <w:r>
        <w:rPr>
          <w:rFonts w:hint="default" w:ascii="Times New Roman" w:hAnsi="Times New Roman" w:eastAsia="方正仿宋_GBK" w:cs="Times New Roman"/>
          <w:color w:val="000000"/>
          <w:sz w:val="32"/>
          <w:szCs w:val="32"/>
        </w:rPr>
        <w:t>聚焦打造绿电产业示范园区，深入推进电力体制改革，加快促进绿电交易，打造成为白城特色化改革重要窗口。</w:t>
      </w:r>
      <w:r>
        <w:rPr>
          <w:rFonts w:hint="default" w:ascii="Times New Roman" w:hAnsi="Times New Roman" w:eastAsia="方正楷体_GBK" w:cs="Times New Roman"/>
          <w:color w:val="000000"/>
          <w:kern w:val="0"/>
          <w:sz w:val="32"/>
          <w:szCs w:val="32"/>
          <w:lang w:val="en" w:eastAsia="zh-CN" w:bidi="ar-SA"/>
        </w:rPr>
        <w:t>〔责任部门：市能源局〕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45.</w:t>
      </w:r>
      <w:r>
        <w:rPr>
          <w:rFonts w:hint="default" w:ascii="Times New Roman" w:hAnsi="Times New Roman" w:eastAsia="方正仿宋_GBK" w:cs="Times New Roman"/>
          <w:color w:val="000000"/>
          <w:sz w:val="32"/>
          <w:szCs w:val="32"/>
        </w:rPr>
        <w:t>持续深化开发区改革，规范开发区事权，强化开发区经济职能，推动开发区聚焦主责主业抓发展。推动公共服务均等化标准化，重点抓好医疗卫生、公共文化等领域</w:t>
      </w:r>
      <w:r>
        <w:rPr>
          <w:rFonts w:hint="default" w:ascii="Times New Roman" w:hAnsi="Times New Roman" w:eastAsia="方正仿宋_GBK" w:cs="Times New Roman"/>
          <w:color w:val="000000"/>
          <w:sz w:val="32"/>
          <w:szCs w:val="32"/>
          <w:lang w:val="en-US" w:eastAsia="zh-CN"/>
        </w:rPr>
        <w:t>工作</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kern w:val="0"/>
          <w:sz w:val="32"/>
          <w:szCs w:val="32"/>
          <w:lang w:val="en" w:eastAsia="zh-CN" w:bidi="ar-SA"/>
        </w:rPr>
        <w:t>〔责任部门：市委编办、市卫健委、市文广旅局〕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46.</w:t>
      </w:r>
      <w:r>
        <w:rPr>
          <w:rFonts w:hint="default" w:ascii="Times New Roman" w:hAnsi="Times New Roman" w:eastAsia="方正仿宋_GBK" w:cs="Times New Roman"/>
          <w:color w:val="000000"/>
          <w:sz w:val="32"/>
          <w:szCs w:val="32"/>
        </w:rPr>
        <w:t>深化供销社综合改革，实施农业农村领域改革，突出重点领域和关键环节，推进“三权分置”改革，力争农村土地适度规模经营面积达到610万亩。</w:t>
      </w:r>
      <w:r>
        <w:rPr>
          <w:rFonts w:hint="default" w:ascii="Times New Roman" w:hAnsi="Times New Roman" w:eastAsia="方正楷体_GBK" w:cs="Times New Roman"/>
          <w:color w:val="000000"/>
          <w:kern w:val="0"/>
          <w:sz w:val="32"/>
          <w:szCs w:val="32"/>
          <w:lang w:val="en" w:eastAsia="zh-CN" w:bidi="ar-SA"/>
        </w:rPr>
        <w:t>〔责任部门：市农业农村局、市供销社〕</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47.</w:t>
      </w:r>
      <w:r>
        <w:rPr>
          <w:rFonts w:hint="default" w:ascii="Times New Roman" w:hAnsi="Times New Roman" w:eastAsia="方正仿宋_GBK" w:cs="Times New Roman"/>
          <w:color w:val="000000"/>
          <w:sz w:val="32"/>
          <w:szCs w:val="32"/>
        </w:rPr>
        <w:t>推进产权制度改革，高效完成76个村“三变”改革任务。推进国家宅基地制度改革，完成通榆国家级农村宅基地“两项”改革试点任务。</w:t>
      </w:r>
      <w:r>
        <w:rPr>
          <w:rFonts w:hint="default" w:ascii="Times New Roman" w:hAnsi="Times New Roman" w:eastAsia="方正楷体_GBK" w:cs="Times New Roman"/>
          <w:color w:val="000000"/>
          <w:kern w:val="0"/>
          <w:sz w:val="32"/>
          <w:szCs w:val="32"/>
          <w:lang w:val="en" w:eastAsia="zh-CN" w:bidi="ar-SA"/>
        </w:rPr>
        <w:t>〔责任部门：市农业农村局、市自然资源局〕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48.</w:t>
      </w:r>
      <w:r>
        <w:rPr>
          <w:rFonts w:hint="default" w:ascii="Times New Roman" w:hAnsi="Times New Roman" w:eastAsia="方正仿宋_GBK" w:cs="Times New Roman"/>
          <w:color w:val="000000"/>
          <w:sz w:val="32"/>
          <w:szCs w:val="32"/>
        </w:rPr>
        <w:t>推进政府职能转变，进一步精简市场准入行政审批事项，加强部门协同和信息共享，拓展新技术在政务服务领域应用的广度、深度，完善首问负责、一次告知、一窗受理等制度，扩大</w:t>
      </w:r>
      <w:r>
        <w:rPr>
          <w:rFonts w:hint="default" w:ascii="Times New Roman" w:hAnsi="Times New Roman" w:eastAsia="方正仿宋_GBK" w:cs="Times New Roman"/>
          <w:color w:val="000000"/>
          <w:sz w:val="32"/>
          <w:szCs w:val="32"/>
          <w:lang w:val="en-US" w:eastAsia="zh-CN"/>
        </w:rPr>
        <w:t>领办代办制</w:t>
      </w:r>
      <w:r>
        <w:rPr>
          <w:rFonts w:hint="default" w:ascii="Times New Roman" w:hAnsi="Times New Roman" w:eastAsia="方正仿宋_GBK" w:cs="Times New Roman"/>
          <w:color w:val="000000"/>
          <w:sz w:val="32"/>
          <w:szCs w:val="32"/>
        </w:rPr>
        <w:t>服务范围，让企业和群众实实在在享受改革成果。聚焦企业和群众办事创业的痛点难点堵点问题，精准提出改进优化的措施建议，推动减环节、优流程、压时限、提效率，为激发市场活力和社会创造力提供坚强有力的保障。</w:t>
      </w:r>
      <w:r>
        <w:rPr>
          <w:rFonts w:hint="default" w:ascii="Times New Roman" w:hAnsi="Times New Roman" w:eastAsia="方正楷体_GBK" w:cs="Times New Roman"/>
          <w:color w:val="000000"/>
          <w:kern w:val="0"/>
          <w:sz w:val="32"/>
          <w:szCs w:val="32"/>
          <w:lang w:val="en" w:eastAsia="zh-CN" w:bidi="ar-SA"/>
        </w:rPr>
        <w:t>〔责任部门：市政数局、市市监局〕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49.</w:t>
      </w:r>
      <w:r>
        <w:rPr>
          <w:rFonts w:hint="default" w:ascii="Times New Roman" w:hAnsi="Times New Roman" w:eastAsia="方正仿宋_GBK" w:cs="Times New Roman"/>
          <w:color w:val="000000"/>
          <w:sz w:val="32"/>
          <w:szCs w:val="32"/>
        </w:rPr>
        <w:t>提升营商环境法治化水平，构建亲清政商关系，健全政企沟通机制，持续加强产权保护，维护企业和企业家合法权益。</w:t>
      </w:r>
      <w:r>
        <w:rPr>
          <w:rFonts w:hint="default" w:ascii="Times New Roman" w:hAnsi="Times New Roman" w:eastAsia="方正楷体_GBK" w:cs="Times New Roman"/>
          <w:color w:val="000000"/>
          <w:kern w:val="0"/>
          <w:sz w:val="32"/>
          <w:szCs w:val="32"/>
          <w:lang w:val="en" w:eastAsia="zh-CN" w:bidi="ar-SA"/>
        </w:rPr>
        <w:t>〔责任部门：市政数局、市市监局、市科技局、</w:t>
      </w:r>
      <w:r>
        <w:rPr>
          <w:rFonts w:hint="default" w:ascii="Times New Roman" w:hAnsi="Times New Roman" w:eastAsia="方正楷体_GBK" w:cs="Times New Roman"/>
          <w:color w:val="000000"/>
          <w:kern w:val="0"/>
          <w:sz w:val="32"/>
          <w:szCs w:val="32"/>
          <w:lang w:val="en-US" w:eastAsia="zh-CN" w:bidi="ar-SA"/>
        </w:rPr>
        <w:t>市发改委、市司法局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rPr>
        <w:t>深入开展“三进一服”“万人助万企”等活动，一企一策纾困解难。</w:t>
      </w:r>
      <w:r>
        <w:rPr>
          <w:rFonts w:hint="default" w:ascii="Times New Roman" w:hAnsi="Times New Roman" w:eastAsia="方正楷体_GBK" w:cs="Times New Roman"/>
          <w:color w:val="000000"/>
          <w:kern w:val="0"/>
          <w:sz w:val="32"/>
          <w:szCs w:val="32"/>
          <w:lang w:val="en" w:eastAsia="zh-CN" w:bidi="ar-SA"/>
        </w:rPr>
        <w:t>〔责任部门：市工信局〕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51.</w:t>
      </w:r>
      <w:r>
        <w:rPr>
          <w:rFonts w:hint="default" w:ascii="Times New Roman" w:hAnsi="Times New Roman" w:eastAsia="方正仿宋_GBK" w:cs="Times New Roman"/>
          <w:color w:val="000000"/>
          <w:sz w:val="32"/>
          <w:szCs w:val="32"/>
        </w:rPr>
        <w:t>加快诚信白城建设，建立健全事前、事中、事后全监管环节的新型监管机制，加强政务、商务、金融、税务、政府采购等重点领域诚信建设，常态化开展承诺践诺评诺活动，争创全国信用示范城市。</w:t>
      </w:r>
      <w:bookmarkStart w:id="7" w:name="_Hlk140671362"/>
      <w:r>
        <w:rPr>
          <w:rFonts w:hint="default" w:ascii="Times New Roman" w:hAnsi="Times New Roman" w:eastAsia="方正楷体_GBK" w:cs="Times New Roman"/>
          <w:color w:val="000000"/>
          <w:kern w:val="0"/>
          <w:sz w:val="32"/>
          <w:szCs w:val="32"/>
          <w:lang w:val="en" w:eastAsia="zh-CN" w:bidi="ar-SA"/>
        </w:rPr>
        <w:t>〔责任部门：市政数局、市市监局、市商务局、市金融办、市税务局、市财政局〕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52.</w:t>
      </w:r>
      <w:r>
        <w:rPr>
          <w:rFonts w:hint="default" w:ascii="Times New Roman" w:hAnsi="Times New Roman" w:eastAsia="方正仿宋_GBK" w:cs="Times New Roman"/>
          <w:color w:val="000000"/>
          <w:sz w:val="32"/>
          <w:szCs w:val="32"/>
        </w:rPr>
        <w:t>主动对接融入国省市开放战略，抓住中俄经贸发展机遇期，加快建立与珲春等口岸城市合作机制，融入全省开放发展大格局。</w:t>
      </w:r>
      <w:r>
        <w:rPr>
          <w:rFonts w:hint="default" w:ascii="Times New Roman" w:hAnsi="Times New Roman" w:eastAsia="方正楷体_GBK" w:cs="Times New Roman"/>
          <w:color w:val="000000"/>
          <w:kern w:val="0"/>
          <w:sz w:val="32"/>
          <w:szCs w:val="32"/>
          <w:lang w:val="en" w:eastAsia="zh-CN" w:bidi="ar-SA"/>
        </w:rPr>
        <w:t>〔责任部门：市商务局〕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53.</w:t>
      </w:r>
      <w:r>
        <w:rPr>
          <w:rFonts w:hint="default" w:ascii="Times New Roman" w:hAnsi="Times New Roman" w:eastAsia="方正仿宋_GBK" w:cs="Times New Roman"/>
          <w:color w:val="000000"/>
          <w:sz w:val="32"/>
          <w:szCs w:val="32"/>
        </w:rPr>
        <w:t>深化区域对口协作，抓好与嘉兴市增减挂钩指标“点对点”交易，与嘉兴在产业项目、平台共建、农民增收、农产品互推、教育互通、医疗互助、游客互换、人力资源等方面开展更多合作。扎实推进白城-嘉兴产业园区建设，积极承接产业转移项目入园，提升合作层次和水平。</w:t>
      </w:r>
      <w:r>
        <w:rPr>
          <w:rFonts w:hint="default" w:ascii="Times New Roman" w:hAnsi="Times New Roman" w:eastAsia="方正楷体_GBK" w:cs="Times New Roman"/>
          <w:color w:val="000000"/>
          <w:kern w:val="0"/>
          <w:sz w:val="32"/>
          <w:szCs w:val="32"/>
          <w:lang w:val="en" w:eastAsia="zh-CN" w:bidi="ar-SA"/>
        </w:rPr>
        <w:t>〔责任部门：市发改委、市商务局〕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54.</w:t>
      </w:r>
      <w:r>
        <w:rPr>
          <w:rFonts w:hint="default" w:ascii="Times New Roman" w:hAnsi="Times New Roman" w:eastAsia="方正仿宋_GBK" w:cs="Times New Roman"/>
          <w:color w:val="000000"/>
          <w:sz w:val="32"/>
          <w:szCs w:val="32"/>
        </w:rPr>
        <w:t>发挥旅游资源优势，深化与齐齐哈尔、兴安盟旅游合作，组建白齐兴旅游发展联盟，打造跨区域精品旅游线路。构建吉林西部环线旅游合作，紧紧围绕“河湖草原湿地旅游大环线”架构，不断深化与长春、松原旅游合作，发挥长白旅行社联盟聚客引流作用，最大化实现区域游客资源共享，深化产业合作的大文章。</w:t>
      </w:r>
      <w:r>
        <w:rPr>
          <w:rFonts w:hint="default" w:ascii="Times New Roman" w:hAnsi="Times New Roman" w:eastAsia="方正楷体_GBK" w:cs="Times New Roman"/>
          <w:color w:val="000000"/>
          <w:kern w:val="0"/>
          <w:sz w:val="32"/>
          <w:szCs w:val="32"/>
          <w:lang w:val="en" w:eastAsia="zh-CN" w:bidi="ar-SA"/>
        </w:rPr>
        <w:t>〔责任部门：市文广旅局〕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55.</w:t>
      </w:r>
      <w:r>
        <w:rPr>
          <w:rFonts w:hint="default" w:ascii="Times New Roman" w:hAnsi="Times New Roman" w:eastAsia="方正仿宋_GBK" w:cs="Times New Roman"/>
          <w:color w:val="000000"/>
          <w:sz w:val="32"/>
          <w:szCs w:val="32"/>
        </w:rPr>
        <w:t>继续加强与吉大、东电的技术合作，紧扣清洁能源、盐碱地治理、装备制造等重点领域，建立人才培养、技术磋商机制，全力推动科技成果转化。推进与吉大共建铅碳电池研发基地，与山东水发、吉电能谷、昊安新能源等企业筹建能源产业学院，推动校地校企合作共赢迈上新台阶。</w:t>
      </w:r>
      <w:r>
        <w:rPr>
          <w:rFonts w:hint="default" w:ascii="Times New Roman" w:hAnsi="Times New Roman" w:eastAsia="方正楷体_GBK" w:cs="Times New Roman"/>
          <w:color w:val="000000"/>
          <w:kern w:val="0"/>
          <w:sz w:val="32"/>
          <w:szCs w:val="32"/>
          <w:lang w:val="en" w:eastAsia="zh-CN" w:bidi="ar-SA"/>
        </w:rPr>
        <w:t>〔责任部门：市发改委、市能源局、市工信局〕</w:t>
      </w:r>
    </w:p>
    <w:bookmarkEnd w:id="7"/>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val="en-US" w:eastAsia="zh-CN"/>
        </w:rPr>
      </w:pPr>
      <w:bookmarkStart w:id="8" w:name="_Toc19367"/>
      <w:r>
        <w:rPr>
          <w:rFonts w:hint="default" w:ascii="Times New Roman" w:hAnsi="Times New Roman" w:eastAsia="方正黑体_GBK" w:cs="Times New Roman"/>
          <w:b w:val="0"/>
          <w:bCs/>
          <w:color w:val="000000"/>
          <w:sz w:val="32"/>
          <w:szCs w:val="32"/>
          <w:lang w:eastAsia="zh-CN"/>
        </w:rPr>
        <w:t>七、</w:t>
      </w:r>
      <w:bookmarkEnd w:id="8"/>
      <w:r>
        <w:rPr>
          <w:rFonts w:hint="default" w:ascii="Times New Roman" w:hAnsi="Times New Roman" w:eastAsia="方正黑体_GBK" w:cs="Times New Roman"/>
          <w:b w:val="0"/>
          <w:bCs/>
          <w:color w:val="000000"/>
          <w:sz w:val="32"/>
          <w:szCs w:val="32"/>
          <w:lang w:eastAsia="zh-CN"/>
        </w:rPr>
        <w:t>社会事业</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56.</w:t>
      </w:r>
      <w:r>
        <w:rPr>
          <w:rFonts w:hint="default" w:ascii="Times New Roman" w:hAnsi="Times New Roman" w:eastAsia="方正仿宋_GBK" w:cs="Times New Roman"/>
          <w:color w:val="000000"/>
          <w:sz w:val="32"/>
          <w:szCs w:val="32"/>
        </w:rPr>
        <w:t>推进学前教育普及普惠安全优质发展，多渠道持续增加普惠性资源供给，每个乡镇至少办好1所公办中心幼儿园，推动生态新区、经开区2所标准化公办幼儿园落地。实施义务教育薄弱环节改善与能力提升项目，统筹推动县域内义务教育城乡一体化优质均衡发展。</w:t>
      </w:r>
      <w:r>
        <w:rPr>
          <w:rFonts w:hint="default" w:ascii="Times New Roman" w:hAnsi="Times New Roman" w:eastAsia="方正楷体_GBK" w:cs="Times New Roman"/>
          <w:color w:val="000000"/>
          <w:kern w:val="0"/>
          <w:sz w:val="32"/>
          <w:szCs w:val="32"/>
          <w:lang w:val="en" w:eastAsia="zh-CN" w:bidi="ar-SA"/>
        </w:rPr>
        <w:t>〔责任部门：市教育局〕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57.</w:t>
      </w:r>
      <w:r>
        <w:rPr>
          <w:rFonts w:hint="default" w:ascii="Times New Roman" w:hAnsi="Times New Roman" w:eastAsia="方正仿宋_GBK" w:cs="Times New Roman"/>
          <w:color w:val="000000"/>
          <w:sz w:val="32"/>
          <w:szCs w:val="32"/>
        </w:rPr>
        <w:t>加强乡村“温馨校园”建设，调整优化义务教育结构和布局，加速南部城区九年制学校建设。推进普通高中育人方式改革，实施薄弱普通高中托管帮扶项目，组织12所普通高中以强带弱结对帮扶，促进优质教育资源共享。加强普通高中标准化建设。</w:t>
      </w:r>
      <w:r>
        <w:rPr>
          <w:rFonts w:hint="default" w:ascii="Times New Roman" w:hAnsi="Times New Roman" w:eastAsia="方正楷体_GBK" w:cs="Times New Roman"/>
          <w:color w:val="000000"/>
          <w:kern w:val="0"/>
          <w:sz w:val="32"/>
          <w:szCs w:val="32"/>
          <w:lang w:val="en" w:eastAsia="zh-CN" w:bidi="ar-SA"/>
        </w:rPr>
        <w:t>〔责任部门：市教育局〕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58.</w:t>
      </w:r>
      <w:r>
        <w:rPr>
          <w:rFonts w:hint="default" w:ascii="Times New Roman" w:hAnsi="Times New Roman" w:eastAsia="方正仿宋_GBK" w:cs="Times New Roman"/>
          <w:color w:val="000000"/>
          <w:sz w:val="32"/>
          <w:szCs w:val="32"/>
        </w:rPr>
        <w:t>提高特殊教育普及水平，推动特殊教育向两端延伸发展。抓好职业教育，积极探索“产教融合、校企联合”协同育人模式，促进产业链与教育链供给匹配融合发展。提高民族教育质量和水平，推进各蒙古族学校中华民族共同体意识教育和民族中小学国家通用语言文字教育教学工作。</w:t>
      </w:r>
      <w:r>
        <w:rPr>
          <w:rFonts w:hint="default" w:ascii="Times New Roman" w:hAnsi="Times New Roman" w:eastAsia="方正楷体_GBK" w:cs="Times New Roman"/>
          <w:color w:val="000000"/>
          <w:kern w:val="0"/>
          <w:sz w:val="32"/>
          <w:szCs w:val="32"/>
          <w:lang w:val="en" w:eastAsia="zh-CN" w:bidi="ar-SA"/>
        </w:rPr>
        <w:t>〔责任部门：市教育局〕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59.</w:t>
      </w:r>
      <w:r>
        <w:rPr>
          <w:rFonts w:hint="default" w:ascii="Times New Roman" w:hAnsi="Times New Roman" w:eastAsia="方正仿宋_GBK" w:cs="Times New Roman"/>
          <w:color w:val="000000"/>
          <w:sz w:val="32"/>
          <w:szCs w:val="32"/>
        </w:rPr>
        <w:t>实施白城师院基础设施扩容工程，建设大学生实训基地，提升校地合作水平。</w:t>
      </w:r>
      <w:r>
        <w:rPr>
          <w:rFonts w:hint="default" w:ascii="Times New Roman" w:hAnsi="Times New Roman" w:eastAsia="方正楷体_GBK" w:cs="Times New Roman"/>
          <w:color w:val="000000"/>
          <w:kern w:val="0"/>
          <w:sz w:val="32"/>
          <w:szCs w:val="32"/>
          <w:lang w:val="en" w:eastAsia="zh-CN" w:bidi="ar-SA"/>
        </w:rPr>
        <w:t>〔责任部门：白城经济开发区〕</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60.</w:t>
      </w:r>
      <w:r>
        <w:rPr>
          <w:rFonts w:hint="default" w:ascii="Times New Roman" w:hAnsi="Times New Roman" w:eastAsia="方正仿宋_GBK" w:cs="Times New Roman"/>
          <w:color w:val="000000"/>
          <w:sz w:val="32"/>
          <w:szCs w:val="32"/>
        </w:rPr>
        <w:t>全面推进就业创业工作，完善并落实好岗位补贴、培训补贴、社会保险补贴和技能鉴定补贴等政策。做好高校毕业生、退役军人、城镇困难人员等重点群体就业工作。建强人才招引平台，实施“鹤乡人才”回引工程，大力开展“5+N”促就业引人才专项行动，着力解决结构性就业矛盾，加大人才引进力度，确保城镇新增就业和农村劳动力转移就业。落实好零就业家庭认定、公益性岗位开发管理等政策，确保零就业家庭动态清零。</w:t>
      </w:r>
      <w:r>
        <w:rPr>
          <w:rFonts w:hint="default" w:ascii="Times New Roman" w:hAnsi="Times New Roman" w:eastAsia="方正楷体_GBK" w:cs="Times New Roman"/>
          <w:color w:val="000000"/>
          <w:kern w:val="0"/>
          <w:sz w:val="32"/>
          <w:szCs w:val="32"/>
          <w:lang w:val="en" w:eastAsia="zh-CN" w:bidi="ar-SA"/>
        </w:rPr>
        <w:t>〔责任部门：市人社局、市民政局、市教育局、市退役军人事务局〕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61.</w:t>
      </w:r>
      <w:r>
        <w:rPr>
          <w:rFonts w:hint="default" w:ascii="Times New Roman" w:hAnsi="Times New Roman" w:eastAsia="方正仿宋_GBK" w:cs="Times New Roman"/>
          <w:color w:val="000000"/>
          <w:sz w:val="32"/>
          <w:szCs w:val="32"/>
        </w:rPr>
        <w:t>持续推进社保扩面征缴，尽快实现法定覆盖人群应参尽参、应保尽保。实施全民参保计划，加强城乡一体化社会保障制度建设，推进养老、失业、工伤保险法定人员全覆盖，扩大重点行业人员参加工伤保险。稳步提高城乡低保标准，加大城市困难群体帮扶救助力度。深化养老保险制度改革，完善长缴多得、多缴多得激励机制等多元互补的社会保险体系。深化医疗保险制度改革，落实城乡居民大病保险制度，推进基本医保与商业健康保险相互补充、衔接发展。</w:t>
      </w:r>
      <w:r>
        <w:rPr>
          <w:rFonts w:hint="default" w:ascii="Times New Roman" w:hAnsi="Times New Roman" w:eastAsia="方正楷体_GBK" w:cs="Times New Roman"/>
          <w:color w:val="000000"/>
          <w:kern w:val="0"/>
          <w:sz w:val="32"/>
          <w:szCs w:val="32"/>
          <w:lang w:val="en" w:eastAsia="zh-CN" w:bidi="ar-SA"/>
        </w:rPr>
        <w:t>〔责任部门：市人社局、市社保局、市医保局〕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62.</w:t>
      </w:r>
      <w:r>
        <w:rPr>
          <w:rFonts w:hint="default" w:ascii="Times New Roman" w:hAnsi="Times New Roman" w:eastAsia="方正仿宋_GBK" w:cs="Times New Roman"/>
          <w:color w:val="000000"/>
          <w:sz w:val="32"/>
          <w:szCs w:val="32"/>
        </w:rPr>
        <w:t>加大住房保障力度，调整住房和用地供应结构，增加公共保障住房供给。推动租购并举，有效解决城镇中低收入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优抚对象、环卫工人、公交职工等</w:t>
      </w:r>
      <w:r>
        <w:rPr>
          <w:rFonts w:hint="default" w:ascii="Times New Roman" w:hAnsi="Times New Roman" w:eastAsia="方正仿宋_GBK" w:cs="Times New Roman"/>
          <w:color w:val="000000"/>
          <w:sz w:val="32"/>
          <w:szCs w:val="32"/>
        </w:rPr>
        <w:t>居民住房问题。</w:t>
      </w:r>
      <w:r>
        <w:rPr>
          <w:rFonts w:hint="default" w:ascii="Times New Roman" w:hAnsi="Times New Roman" w:eastAsia="方正楷体_GBK" w:cs="Times New Roman"/>
          <w:color w:val="000000"/>
          <w:kern w:val="0"/>
          <w:sz w:val="32"/>
          <w:szCs w:val="32"/>
          <w:lang w:val="en" w:eastAsia="zh-CN" w:bidi="ar-SA"/>
        </w:rPr>
        <w:t>〔责任部门：市住建局〕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63.</w:t>
      </w:r>
      <w:r>
        <w:rPr>
          <w:rFonts w:hint="default" w:ascii="Times New Roman" w:hAnsi="Times New Roman" w:eastAsia="方正仿宋_GBK" w:cs="Times New Roman"/>
          <w:color w:val="000000"/>
          <w:sz w:val="32"/>
          <w:szCs w:val="32"/>
        </w:rPr>
        <w:t>强化疾病预防控制，健全以市、县两级疾病预防控制机构和各级各类专科疾病防治机构为骨干，医疗机构为依托，基层医疗卫生机构为网底，军民融合、防治结合、全社会协同的疾病预防控制体系。</w:t>
      </w:r>
      <w:r>
        <w:rPr>
          <w:rFonts w:hint="default" w:ascii="Times New Roman" w:hAnsi="Times New Roman" w:eastAsia="方正楷体_GBK" w:cs="Times New Roman"/>
          <w:color w:val="000000"/>
          <w:kern w:val="0"/>
          <w:sz w:val="32"/>
          <w:szCs w:val="32"/>
          <w:lang w:val="en" w:eastAsia="zh-CN" w:bidi="ar-SA"/>
        </w:rPr>
        <w:t>〔责任部门：市卫健委〕</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64.</w:t>
      </w:r>
      <w:r>
        <w:rPr>
          <w:rFonts w:hint="default" w:ascii="Times New Roman" w:hAnsi="Times New Roman" w:eastAsia="方正仿宋_GBK" w:cs="Times New Roman"/>
          <w:color w:val="000000"/>
          <w:sz w:val="32"/>
          <w:szCs w:val="32"/>
        </w:rPr>
        <w:t>夯实卫生应急保障，建立重大公共卫生事件领导指挥体系，健全重大疫情应急响应机制，完善防范化解与应对处置机制，加强医疗物资储备与分拨管理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楷体_GBK" w:cs="Times New Roman"/>
          <w:color w:val="000000"/>
          <w:kern w:val="0"/>
          <w:sz w:val="32"/>
          <w:szCs w:val="32"/>
          <w:lang w:val="en" w:eastAsia="zh-CN" w:bidi="ar-SA"/>
        </w:rPr>
        <w:t>〔责任部门：市卫健委〕</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65.</w:t>
      </w:r>
      <w:r>
        <w:rPr>
          <w:rFonts w:hint="default" w:ascii="Times New Roman" w:hAnsi="Times New Roman" w:eastAsia="方正仿宋_GBK" w:cs="Times New Roman"/>
          <w:color w:val="000000"/>
          <w:sz w:val="32"/>
          <w:szCs w:val="32"/>
        </w:rPr>
        <w:t>健全医疗卫生服务体系，全力支持中心医院创建“三甲”，推进中医院异地新建，增加医疗资源。抓好紧密型医联体建设和家庭医生签约服务，落实分级诊疗制度，形成基层首诊、双向转诊、上下联动、急慢分治的合理就医秩序。</w:t>
      </w:r>
      <w:r>
        <w:rPr>
          <w:rFonts w:hint="default" w:ascii="Times New Roman" w:hAnsi="Times New Roman" w:eastAsia="方正楷体_GBK" w:cs="Times New Roman"/>
          <w:color w:val="000000"/>
          <w:kern w:val="0"/>
          <w:sz w:val="32"/>
          <w:szCs w:val="32"/>
          <w:lang w:val="en" w:eastAsia="zh-CN" w:bidi="ar-SA"/>
        </w:rPr>
        <w:t>〔责任部门：市卫健委〕</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66.</w:t>
      </w:r>
      <w:r>
        <w:rPr>
          <w:rFonts w:hint="default" w:ascii="Times New Roman" w:hAnsi="Times New Roman" w:eastAsia="方正仿宋_GBK" w:cs="Times New Roman"/>
          <w:color w:val="000000"/>
          <w:sz w:val="32"/>
          <w:szCs w:val="32"/>
        </w:rPr>
        <w:t>推进公立医院综合改革，健全现代医院管理制度。深化医疗服务价格改革，合理控制医药费用增幅，优化公立医院收入结构。加快医疗卫生信息化改革，全面提高医疗质量和服务水平。</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lang w:val="en-US" w:eastAsia="zh-CN" w:bidi="ar-SA"/>
        </w:rPr>
        <w:t>市</w:t>
      </w:r>
      <w:r>
        <w:rPr>
          <w:rFonts w:hint="default" w:ascii="Times New Roman" w:hAnsi="Times New Roman" w:eastAsia="方正楷体_GBK" w:cs="Times New Roman"/>
          <w:color w:val="000000"/>
          <w:kern w:val="0"/>
          <w:sz w:val="32"/>
          <w:szCs w:val="32"/>
          <w:highlight w:val="none"/>
          <w:lang w:val="en-US" w:eastAsia="zh-CN" w:bidi="ar-SA"/>
        </w:rPr>
        <w:t>发改委、</w:t>
      </w:r>
      <w:r>
        <w:rPr>
          <w:rFonts w:hint="default" w:ascii="Times New Roman" w:hAnsi="Times New Roman" w:eastAsia="方正楷体_GBK" w:cs="Times New Roman"/>
          <w:color w:val="000000"/>
          <w:kern w:val="0"/>
          <w:sz w:val="32"/>
          <w:szCs w:val="32"/>
          <w:lang w:val="en" w:eastAsia="zh-CN" w:bidi="ar-SA"/>
        </w:rPr>
        <w:t>市卫健委〕</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67.</w:t>
      </w:r>
      <w:r>
        <w:rPr>
          <w:rFonts w:hint="default" w:ascii="Times New Roman" w:hAnsi="Times New Roman" w:eastAsia="方正仿宋_GBK" w:cs="Times New Roman"/>
          <w:color w:val="000000"/>
          <w:sz w:val="32"/>
          <w:szCs w:val="32"/>
        </w:rPr>
        <w:t>加强公共养老服务设施建设，构建城乡互动、功能互补的养老服务体系。加快推进养老服务设施公建民营，探索政府购买社会服务机制。</w:t>
      </w:r>
      <w:bookmarkStart w:id="9" w:name="_Hlk155293545"/>
      <w:r>
        <w:rPr>
          <w:rFonts w:hint="default" w:ascii="Times New Roman" w:hAnsi="Times New Roman" w:eastAsia="方正楷体_GBK" w:cs="Times New Roman"/>
          <w:color w:val="000000"/>
          <w:kern w:val="0"/>
          <w:sz w:val="32"/>
          <w:szCs w:val="32"/>
          <w:lang w:val="en" w:eastAsia="zh-CN" w:bidi="ar-SA"/>
        </w:rPr>
        <w:t>〔责任部门：市民政局〕</w:t>
      </w:r>
    </w:p>
    <w:bookmarkEnd w:id="9"/>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68.</w:t>
      </w:r>
      <w:r>
        <w:rPr>
          <w:rFonts w:hint="default" w:ascii="Times New Roman" w:hAnsi="Times New Roman" w:eastAsia="方正仿宋_GBK" w:cs="Times New Roman"/>
          <w:color w:val="000000"/>
          <w:sz w:val="32"/>
          <w:szCs w:val="32"/>
        </w:rPr>
        <w:t>加快发展医养服务，鼓励医院增设护理型养老床位，支持中医院将“治未病”理念融入老年人中医诊疗全过程，提供中医健康养老服务。支持养老机构、日间照料中心、长者照护中心、农村互助幸福院内设卫生室、护理院，开办老年病医院、康复医院等。</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highlight w:val="none"/>
          <w:lang w:val="en" w:eastAsia="zh-CN" w:bidi="ar-SA"/>
        </w:rPr>
        <w:t>市卫健委、市民政局</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69.</w:t>
      </w:r>
      <w:r>
        <w:rPr>
          <w:rFonts w:hint="default" w:ascii="Times New Roman" w:hAnsi="Times New Roman" w:eastAsia="方正仿宋_GBK" w:cs="Times New Roman"/>
          <w:color w:val="000000"/>
          <w:sz w:val="32"/>
          <w:szCs w:val="32"/>
        </w:rPr>
        <w:t>优化妇女发展的社会文化环境和自然生态环境。提高妇女参加生育、医疗、养老、失业、工伤五大保险人数和待遇水平，健全社会救助体系。提高女性就业比例，优化妇女就业结构，保障妇女享有政治权利，提升妇女参与社会主义民主政治建设和社会治理水平。加强妇女思想政治教育，提高女性终身教育水平。健全完善保障妇女合法权益的法律体系，提升妇女法治意识。</w:t>
      </w:r>
      <w:r>
        <w:rPr>
          <w:rFonts w:hint="default" w:ascii="Times New Roman" w:hAnsi="Times New Roman" w:eastAsia="方正楷体_GBK" w:cs="Times New Roman"/>
          <w:color w:val="000000"/>
          <w:kern w:val="0"/>
          <w:sz w:val="32"/>
          <w:szCs w:val="32"/>
          <w:lang w:val="en" w:eastAsia="zh-CN" w:bidi="ar-SA"/>
        </w:rPr>
        <w:t>〔责任部门：市妇联、市人社局〕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70.</w:t>
      </w:r>
      <w:r>
        <w:rPr>
          <w:rFonts w:hint="default" w:ascii="Times New Roman" w:hAnsi="Times New Roman" w:eastAsia="方正仿宋_GBK" w:cs="Times New Roman"/>
          <w:color w:val="000000"/>
          <w:sz w:val="32"/>
          <w:szCs w:val="32"/>
        </w:rPr>
        <w:t>完善儿童健康服务体系，普及儿童健康生活方式，提升儿童心理健康水平，构建与我市经济社会发展水平相适应的普惠型儿童福利制度体系。传播科学育儿理念，弘扬好家风好家训，构建家庭教育指导服务体系。保障提供有关儿童高质量的精神文化产品，提升儿童媒介素养。强化儿童保护主体责任，完善未成年人保护法律体系。</w:t>
      </w:r>
      <w:r>
        <w:rPr>
          <w:rFonts w:hint="default" w:ascii="Times New Roman" w:hAnsi="Times New Roman" w:eastAsia="方正楷体_GBK" w:cs="Times New Roman"/>
          <w:color w:val="000000"/>
          <w:kern w:val="0"/>
          <w:sz w:val="32"/>
          <w:szCs w:val="32"/>
          <w:lang w:val="en" w:eastAsia="zh-CN" w:bidi="ar-SA"/>
        </w:rPr>
        <w:t>〔责任部门：市妇联〕</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71.</w:t>
      </w:r>
      <w:r>
        <w:rPr>
          <w:rFonts w:hint="default" w:ascii="Times New Roman" w:hAnsi="Times New Roman" w:eastAsia="方正仿宋_GBK" w:cs="Times New Roman"/>
          <w:color w:val="000000"/>
          <w:sz w:val="32"/>
          <w:szCs w:val="32"/>
        </w:rPr>
        <w:t>大力弘扬社会主义核心价值观，深化新时代文明实践，强化“文明实践中心-文明实践所-文明实践站-文明实践点”“四级”阵地网络建设，打造新时代文明实践中心建设的“白城样板”。</w:t>
      </w:r>
      <w:r>
        <w:rPr>
          <w:rFonts w:hint="default" w:ascii="Times New Roman" w:hAnsi="Times New Roman" w:eastAsia="方正仿宋_GBK" w:cs="Times New Roman"/>
          <w:color w:val="000000"/>
          <w:kern w:val="0"/>
          <w:sz w:val="32"/>
          <w:szCs w:val="32"/>
          <w:lang w:val="en"/>
        </w:rPr>
        <w:t xml:space="preserve"> </w:t>
      </w:r>
      <w:r>
        <w:rPr>
          <w:rFonts w:hint="default" w:ascii="Times New Roman" w:hAnsi="Times New Roman" w:eastAsia="方正楷体_GBK" w:cs="Times New Roman"/>
          <w:color w:val="000000"/>
          <w:kern w:val="0"/>
          <w:sz w:val="32"/>
          <w:szCs w:val="32"/>
          <w:lang w:val="en" w:eastAsia="zh-CN" w:bidi="ar-SA"/>
        </w:rPr>
        <w:t>〔责任部门：市委宣传部〕</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72.</w:t>
      </w:r>
      <w:r>
        <w:rPr>
          <w:rFonts w:hint="default" w:ascii="Times New Roman" w:hAnsi="Times New Roman" w:eastAsia="方正仿宋_GBK" w:cs="Times New Roman"/>
          <w:color w:val="000000"/>
          <w:sz w:val="32"/>
          <w:szCs w:val="32"/>
        </w:rPr>
        <w:t>对标全国文明城市创建标准，扎实推进文明单位、文明村镇、文明家庭、文明校园等创建活动，不断提升市民文明素质和社会文明程度。传承弘扬优秀传统文化，融入城市血脉，增强历史文化自信。推广“鹤小白”城市文明使者形象，厚植城市文化底蕴。</w:t>
      </w:r>
      <w:r>
        <w:rPr>
          <w:rFonts w:hint="default" w:ascii="Times New Roman" w:hAnsi="Times New Roman" w:eastAsia="方正楷体_GBK" w:cs="Times New Roman"/>
          <w:color w:val="000000"/>
          <w:kern w:val="0"/>
          <w:sz w:val="32"/>
          <w:szCs w:val="32"/>
          <w:lang w:val="en" w:eastAsia="zh-CN" w:bidi="ar-SA"/>
        </w:rPr>
        <w:t>〔责任部门：市委宣传部〕</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73.</w:t>
      </w:r>
      <w:r>
        <w:rPr>
          <w:rFonts w:hint="default" w:ascii="Times New Roman" w:hAnsi="Times New Roman" w:eastAsia="方正仿宋_GBK" w:cs="Times New Roman"/>
          <w:color w:val="000000"/>
          <w:sz w:val="32"/>
          <w:szCs w:val="32"/>
        </w:rPr>
        <w:t>开发辽吉系列城市微景观，创作辽吉红色历史文艺作品，筹建白城辽吉干部学院，推动中共辽吉省委旧址纪念馆纳入全省干部教育培训基地。</w:t>
      </w:r>
      <w:r>
        <w:rPr>
          <w:rFonts w:hint="default" w:ascii="Times New Roman" w:hAnsi="Times New Roman" w:eastAsia="方正楷体_GBK" w:cs="Times New Roman"/>
          <w:color w:val="000000"/>
          <w:kern w:val="0"/>
          <w:sz w:val="32"/>
          <w:szCs w:val="32"/>
          <w:lang w:val="en" w:eastAsia="zh-CN" w:bidi="ar-SA"/>
        </w:rPr>
        <w:t>〔责任部门：市委组织部、市委党史研究室〕</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74.</w:t>
      </w:r>
      <w:r>
        <w:rPr>
          <w:rFonts w:hint="default" w:ascii="Times New Roman" w:hAnsi="Times New Roman" w:eastAsia="方正仿宋_GBK" w:cs="Times New Roman"/>
          <w:color w:val="000000"/>
          <w:sz w:val="32"/>
          <w:szCs w:val="32"/>
        </w:rPr>
        <w:t>坚持文化事业和文化产业融合发展，大力开发和引进文创、旅创、农创项目。谋划实施5个县级文体活动中心建设提升工程。深入开展文化下乡、文化惠民服务工程。广泛开展全民健身活动，办好排球、健步行、速滑等全民健身赛事。</w:t>
      </w:r>
      <w:r>
        <w:rPr>
          <w:rFonts w:hint="default" w:ascii="Times New Roman" w:hAnsi="Times New Roman" w:eastAsia="方正楷体_GBK" w:cs="Times New Roman"/>
          <w:color w:val="000000"/>
          <w:kern w:val="0"/>
          <w:sz w:val="32"/>
          <w:szCs w:val="32"/>
          <w:lang w:val="en" w:eastAsia="zh-CN" w:bidi="ar-SA"/>
        </w:rPr>
        <w:t>〔责任部门：市文广旅局〕</w:t>
      </w:r>
    </w:p>
    <w:p>
      <w:pPr>
        <w:pStyle w:val="3"/>
        <w:pageBreakBefore w:val="0"/>
        <w:widowControl w:val="0"/>
        <w:kinsoku/>
        <w:wordWrap/>
        <w:overflowPunct/>
        <w:topLinePunct w:val="0"/>
        <w:autoSpaceDE/>
        <w:autoSpaceDN/>
        <w:bidi w:val="0"/>
        <w:adjustRightInd/>
        <w:snapToGrid/>
        <w:spacing w:before="0" w:after="0" w:line="564" w:lineRule="exact"/>
        <w:ind w:firstLine="640"/>
        <w:textAlignment w:val="auto"/>
        <w:rPr>
          <w:rFonts w:hint="default" w:ascii="Times New Roman" w:hAnsi="Times New Roman" w:eastAsia="方正黑体_GBK" w:cs="Times New Roman"/>
          <w:b w:val="0"/>
          <w:bCs/>
          <w:color w:val="000000"/>
          <w:sz w:val="32"/>
          <w:szCs w:val="32"/>
          <w:lang w:eastAsia="zh-CN"/>
        </w:rPr>
      </w:pPr>
      <w:bookmarkStart w:id="10" w:name="_Toc22668"/>
      <w:r>
        <w:rPr>
          <w:rFonts w:hint="default" w:ascii="Times New Roman" w:hAnsi="Times New Roman" w:eastAsia="方正黑体_GBK" w:cs="Times New Roman"/>
          <w:b w:val="0"/>
          <w:bCs/>
          <w:color w:val="000000"/>
          <w:sz w:val="32"/>
          <w:szCs w:val="32"/>
          <w:lang w:eastAsia="zh-CN"/>
        </w:rPr>
        <w:t>八、</w:t>
      </w:r>
      <w:bookmarkEnd w:id="10"/>
      <w:r>
        <w:rPr>
          <w:rFonts w:hint="default" w:ascii="Times New Roman" w:hAnsi="Times New Roman" w:eastAsia="方正黑体_GBK" w:cs="Times New Roman"/>
          <w:b w:val="0"/>
          <w:bCs/>
          <w:color w:val="000000"/>
          <w:sz w:val="32"/>
          <w:szCs w:val="32"/>
          <w:lang w:eastAsia="zh-CN"/>
        </w:rPr>
        <w:t>社会治理</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75.</w:t>
      </w:r>
      <w:r>
        <w:rPr>
          <w:rFonts w:hint="default" w:ascii="Times New Roman" w:hAnsi="Times New Roman" w:eastAsia="方正仿宋_GBK" w:cs="Times New Roman"/>
          <w:color w:val="000000"/>
          <w:sz w:val="32"/>
          <w:szCs w:val="32"/>
        </w:rPr>
        <w:t>提升依法行政水平，全面落实司法责任制，不断提高执法司法效率和公信力。进一步完善政府权力清单和责任清单，深化综合行政执法体制改革，完善执法联动机制。深化司法体制综合配套改革，构建立体化多元化精细化的诉讼程序体系。</w:t>
      </w:r>
      <w:r>
        <w:rPr>
          <w:rFonts w:hint="default" w:ascii="Times New Roman" w:hAnsi="Times New Roman" w:eastAsia="方正楷体_GBK" w:cs="Times New Roman"/>
          <w:color w:val="000000"/>
          <w:kern w:val="0"/>
          <w:sz w:val="32"/>
          <w:szCs w:val="32"/>
          <w:lang w:val="en" w:eastAsia="zh-CN" w:bidi="ar-SA"/>
        </w:rPr>
        <w:t>〔责任部门：市司法局、市政数局〕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76.</w:t>
      </w:r>
      <w:r>
        <w:rPr>
          <w:rFonts w:hint="default" w:ascii="Times New Roman" w:hAnsi="Times New Roman" w:eastAsia="方正仿宋_GBK" w:cs="Times New Roman"/>
          <w:color w:val="000000"/>
          <w:sz w:val="32"/>
          <w:szCs w:val="32"/>
        </w:rPr>
        <w:t>深入推进“八五”普法，深化法治宣传教育，营造法治文化氛围，弘扬法治精神，增强全民法治观念，构建社会“大普法”格局。</w:t>
      </w:r>
      <w:r>
        <w:rPr>
          <w:rFonts w:hint="default" w:ascii="Times New Roman" w:hAnsi="Times New Roman" w:eastAsia="方正楷体_GBK" w:cs="Times New Roman"/>
          <w:color w:val="000000"/>
          <w:kern w:val="0"/>
          <w:sz w:val="32"/>
          <w:szCs w:val="32"/>
          <w:lang w:val="en" w:eastAsia="zh-CN" w:bidi="ar-SA"/>
        </w:rPr>
        <w:t>〔责任部门：市司法局〕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77.</w:t>
      </w:r>
      <w:r>
        <w:rPr>
          <w:rFonts w:hint="default" w:ascii="Times New Roman" w:hAnsi="Times New Roman" w:eastAsia="方正仿宋_GBK" w:cs="Times New Roman"/>
          <w:color w:val="000000"/>
          <w:sz w:val="32"/>
          <w:szCs w:val="32"/>
        </w:rPr>
        <w:t>完善法治监督机制，加强对法治建设的人大监督、民主监督、巡察监督、监察监督、审计监督、社会监督和舆论监督，扩大人民群众对法治建设的参与和监督。</w:t>
      </w:r>
      <w:r>
        <w:rPr>
          <w:rFonts w:hint="default" w:ascii="Times New Roman" w:hAnsi="Times New Roman" w:eastAsia="方正楷体_GBK" w:cs="Times New Roman"/>
          <w:color w:val="000000"/>
          <w:kern w:val="0"/>
          <w:sz w:val="32"/>
          <w:szCs w:val="32"/>
          <w:lang w:val="en" w:eastAsia="zh-CN" w:bidi="ar-SA"/>
        </w:rPr>
        <w:t>〔责任部门：</w:t>
      </w:r>
      <w:r>
        <w:rPr>
          <w:rFonts w:hint="default" w:ascii="Times New Roman" w:hAnsi="Times New Roman" w:eastAsia="方正楷体_GBK" w:cs="Times New Roman"/>
          <w:color w:val="000000"/>
          <w:kern w:val="0"/>
          <w:sz w:val="32"/>
          <w:szCs w:val="32"/>
          <w:lang w:val="en-US" w:eastAsia="zh-CN" w:bidi="ar-SA"/>
        </w:rPr>
        <w:t>市纪委、市委巡察办、市委宣传部、市审计局、</w:t>
      </w:r>
      <w:r>
        <w:rPr>
          <w:rFonts w:hint="default" w:ascii="Times New Roman" w:hAnsi="Times New Roman" w:eastAsia="方正楷体_GBK" w:cs="Times New Roman"/>
          <w:color w:val="000000"/>
          <w:kern w:val="0"/>
          <w:sz w:val="32"/>
          <w:szCs w:val="32"/>
          <w:lang w:val="en" w:eastAsia="zh-CN" w:bidi="ar-SA"/>
        </w:rPr>
        <w:t>市司法局</w:t>
      </w:r>
      <w:r>
        <w:rPr>
          <w:rFonts w:hint="default" w:ascii="Times New Roman" w:hAnsi="Times New Roman" w:eastAsia="方正楷体_GBK" w:cs="Times New Roman"/>
          <w:color w:val="000000"/>
          <w:kern w:val="0"/>
          <w:sz w:val="32"/>
          <w:szCs w:val="32"/>
          <w:lang w:val="en-US" w:eastAsia="zh-CN" w:bidi="ar-SA"/>
        </w:rPr>
        <w:t>等部门</w:t>
      </w:r>
      <w:r>
        <w:rPr>
          <w:rFonts w:hint="default" w:ascii="Times New Roman" w:hAnsi="Times New Roman" w:eastAsia="方正楷体_GBK" w:cs="Times New Roman"/>
          <w:color w:val="000000"/>
          <w:kern w:val="0"/>
          <w:sz w:val="32"/>
          <w:szCs w:val="32"/>
          <w:lang w:val="en" w:eastAsia="zh-CN" w:bidi="ar-SA"/>
        </w:rPr>
        <w:t>〕</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78.</w:t>
      </w:r>
      <w:r>
        <w:rPr>
          <w:rFonts w:hint="default" w:ascii="Times New Roman" w:hAnsi="Times New Roman" w:eastAsia="方正仿宋_GBK" w:cs="Times New Roman"/>
          <w:color w:val="000000"/>
          <w:sz w:val="32"/>
          <w:szCs w:val="32"/>
        </w:rPr>
        <w:t>创新基层治理模式，做实“平急结合</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color w:val="000000"/>
          <w:sz w:val="32"/>
          <w:szCs w:val="32"/>
        </w:rPr>
        <w:t>万人强基”三项工程，完善群众参与基层社会治理的制度化渠道，推动社会治理和服务重心向基层下移，把更多资源下沉到基层，更好提供精准化、精细化服务，实现政府治理、社会调节、居民自治良性互动。</w:t>
      </w:r>
      <w:r>
        <w:rPr>
          <w:rFonts w:hint="default" w:ascii="Times New Roman" w:hAnsi="Times New Roman" w:eastAsia="方正楷体_GBK" w:cs="Times New Roman"/>
          <w:color w:val="000000"/>
          <w:kern w:val="0"/>
          <w:sz w:val="32"/>
          <w:szCs w:val="32"/>
          <w:lang w:val="en" w:eastAsia="zh-CN" w:bidi="ar-SA"/>
        </w:rPr>
        <w:t>〔责任部门：市委组织部〕</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79.</w:t>
      </w:r>
      <w:r>
        <w:rPr>
          <w:rFonts w:hint="default" w:ascii="Times New Roman" w:hAnsi="Times New Roman" w:eastAsia="方正仿宋_GBK" w:cs="Times New Roman"/>
          <w:color w:val="000000"/>
          <w:sz w:val="32"/>
          <w:szCs w:val="32"/>
        </w:rPr>
        <w:t>持续推广“小积分”激活“大德治”模式，加快形成乡村治理共建共治共享新格局。</w:t>
      </w:r>
      <w:r>
        <w:rPr>
          <w:rFonts w:hint="default" w:ascii="Times New Roman" w:hAnsi="Times New Roman" w:eastAsia="方正楷体_GBK" w:cs="Times New Roman"/>
          <w:color w:val="000000"/>
          <w:kern w:val="0"/>
          <w:sz w:val="32"/>
          <w:szCs w:val="32"/>
          <w:lang w:val="en" w:eastAsia="zh-CN" w:bidi="ar-SA"/>
        </w:rPr>
        <w:t>〔责任部门：市乡村振兴局〕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80.</w:t>
      </w:r>
      <w:r>
        <w:rPr>
          <w:rFonts w:hint="default" w:ascii="Times New Roman" w:hAnsi="Times New Roman" w:eastAsia="方正仿宋_GBK" w:cs="Times New Roman"/>
          <w:color w:val="000000"/>
          <w:sz w:val="32"/>
          <w:szCs w:val="32"/>
        </w:rPr>
        <w:t>坚守安全生产底线，严格落实安全生产责任制、高危行业领域安全准入制度，健全安全风险分级管控和事故隐患排查治理机制，全面推行安全生产“必查制”，持续提升监管效能。</w:t>
      </w:r>
      <w:r>
        <w:rPr>
          <w:rFonts w:hint="default" w:ascii="Times New Roman" w:hAnsi="Times New Roman" w:eastAsia="方正楷体_GBK" w:cs="Times New Roman"/>
          <w:color w:val="000000"/>
          <w:kern w:val="0"/>
          <w:sz w:val="32"/>
          <w:szCs w:val="32"/>
          <w:lang w:val="en" w:eastAsia="zh-CN" w:bidi="ar-SA"/>
        </w:rPr>
        <w:t>〔责任部门：市应急局〕</w:t>
      </w:r>
    </w:p>
    <w:p>
      <w:pPr>
        <w:pageBreakBefore w:val="0"/>
        <w:widowControl w:val="0"/>
        <w:kinsoku/>
        <w:wordWrap/>
        <w:overflowPunct/>
        <w:topLinePunct w:val="0"/>
        <w:autoSpaceDE/>
        <w:autoSpaceDN/>
        <w:bidi w:val="0"/>
        <w:adjustRightInd/>
        <w:snapToGrid/>
        <w:spacing w:line="564"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81.</w:t>
      </w:r>
      <w:r>
        <w:rPr>
          <w:rFonts w:hint="default" w:ascii="Times New Roman" w:hAnsi="Times New Roman" w:eastAsia="方正仿宋_GBK" w:cs="Times New Roman"/>
          <w:color w:val="000000"/>
          <w:sz w:val="32"/>
          <w:szCs w:val="32"/>
        </w:rPr>
        <w:t>扎实开展安全生产专项整治行动，确保安全生产形势稳定。加强交通安全、食品药品安全、特种设备安全、重点工业产品质量安全监管等工作，坚决防范和遏制重特大安全事故发生。</w:t>
      </w:r>
      <w:r>
        <w:rPr>
          <w:rFonts w:hint="default" w:ascii="Times New Roman" w:hAnsi="Times New Roman" w:eastAsia="方正楷体_GBK" w:cs="Times New Roman"/>
          <w:color w:val="000000"/>
          <w:kern w:val="0"/>
          <w:sz w:val="32"/>
          <w:szCs w:val="32"/>
          <w:lang w:val="en" w:eastAsia="zh-CN" w:bidi="ar-SA"/>
        </w:rPr>
        <w:t>〔责任部门：市应急局〕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82.</w:t>
      </w:r>
      <w:r>
        <w:rPr>
          <w:rFonts w:hint="default" w:ascii="Times New Roman" w:hAnsi="Times New Roman" w:eastAsia="方正仿宋_GBK" w:cs="Times New Roman"/>
          <w:color w:val="000000"/>
          <w:sz w:val="32"/>
          <w:szCs w:val="32"/>
        </w:rPr>
        <w:t>深化社会治安防控体系建设，开展常态化扫黑除恶斗争，完善“情指行”一体化运行机制，严厉打击违法犯罪行为。</w:t>
      </w:r>
      <w:r>
        <w:rPr>
          <w:rFonts w:hint="default" w:ascii="Times New Roman" w:hAnsi="Times New Roman" w:eastAsia="方正楷体_GBK" w:cs="Times New Roman"/>
          <w:color w:val="000000"/>
          <w:kern w:val="0"/>
          <w:sz w:val="32"/>
          <w:szCs w:val="32"/>
          <w:lang w:val="en" w:eastAsia="zh-CN" w:bidi="ar-SA"/>
        </w:rPr>
        <w:t>〔责任部门：市公安局〕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83.</w:t>
      </w:r>
      <w:r>
        <w:rPr>
          <w:rFonts w:hint="default" w:ascii="Times New Roman" w:hAnsi="Times New Roman" w:eastAsia="方正仿宋_GBK" w:cs="Times New Roman"/>
          <w:color w:val="000000"/>
          <w:sz w:val="32"/>
          <w:szCs w:val="32"/>
        </w:rPr>
        <w:t>不断健全预防和化解社会矛盾机制，加强和改进信访工作，全面开展信访问题源头治理三年攻坚行动，实施信访工作巩固提高“五大专项行动”，构建“医患和、劳资和、邻里和”的大调解体系。坚持和发展新时代“枫桥经验”，发挥“鹤小白”调解室作用，打造统一规范、覆盖城乡的基层“鹤乡枫桥”品牌。</w:t>
      </w:r>
      <w:r>
        <w:rPr>
          <w:rFonts w:hint="default" w:ascii="Times New Roman" w:hAnsi="Times New Roman" w:eastAsia="方正楷体_GBK" w:cs="Times New Roman"/>
          <w:color w:val="000000"/>
          <w:kern w:val="0"/>
          <w:sz w:val="32"/>
          <w:szCs w:val="32"/>
          <w:lang w:val="en" w:eastAsia="zh-CN" w:bidi="ar-SA"/>
        </w:rPr>
        <w:t>〔责任部门：</w:t>
      </w:r>
      <w:r>
        <w:rPr>
          <w:rFonts w:hint="eastAsia" w:ascii="Times New Roman" w:hAnsi="Times New Roman" w:eastAsia="方正楷体_GBK" w:cs="Times New Roman"/>
          <w:color w:val="000000"/>
          <w:kern w:val="0"/>
          <w:sz w:val="32"/>
          <w:szCs w:val="32"/>
          <w:lang w:val="en-US" w:eastAsia="zh-CN" w:bidi="ar-SA"/>
        </w:rPr>
        <w:t>市委政法委、市人社局、市卫健委、</w:t>
      </w:r>
      <w:r>
        <w:rPr>
          <w:rFonts w:hint="default" w:ascii="Times New Roman" w:hAnsi="Times New Roman" w:eastAsia="方正楷体_GBK" w:cs="Times New Roman"/>
          <w:color w:val="000000"/>
          <w:kern w:val="0"/>
          <w:sz w:val="32"/>
          <w:szCs w:val="32"/>
          <w:lang w:val="en" w:eastAsia="zh-CN" w:bidi="ar-SA"/>
        </w:rPr>
        <w:t>市信访局〕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84.</w:t>
      </w:r>
      <w:r>
        <w:rPr>
          <w:rFonts w:hint="default" w:ascii="Times New Roman" w:hAnsi="Times New Roman" w:eastAsia="方正仿宋_GBK" w:cs="Times New Roman"/>
          <w:color w:val="000000"/>
          <w:sz w:val="32"/>
          <w:szCs w:val="32"/>
        </w:rPr>
        <w:t>防范化解重大风险，健全重大决策社会风险评估机制以及预案编制、风险研判、应急决策、协同处置等全过程风险防控机制，加强风险链防控，防范化解重点领域风险。</w:t>
      </w:r>
      <w:r>
        <w:rPr>
          <w:rFonts w:hint="default" w:ascii="Times New Roman" w:hAnsi="Times New Roman" w:eastAsia="方正楷体_GBK" w:cs="Times New Roman"/>
          <w:color w:val="000000"/>
          <w:kern w:val="0"/>
          <w:sz w:val="32"/>
          <w:szCs w:val="32"/>
          <w:lang w:val="en" w:eastAsia="zh-CN" w:bidi="ar-SA"/>
        </w:rPr>
        <w:t>〔责任部门：市应急局〕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_GBK" w:cs="Times New Roman"/>
          <w:color w:val="000000"/>
          <w:kern w:val="0"/>
          <w:sz w:val="32"/>
          <w:szCs w:val="32"/>
          <w:lang w:val="en" w:eastAsia="zh-CN" w:bidi="ar-SA"/>
        </w:rPr>
      </w:pPr>
      <w:r>
        <w:rPr>
          <w:rFonts w:hint="default" w:ascii="Times New Roman" w:hAnsi="Times New Roman" w:eastAsia="方正仿宋_GBK" w:cs="Times New Roman"/>
          <w:color w:val="000000"/>
          <w:sz w:val="32"/>
          <w:szCs w:val="32"/>
          <w:lang w:val="en-US" w:eastAsia="zh-CN"/>
        </w:rPr>
        <w:t>85.</w:t>
      </w:r>
      <w:r>
        <w:rPr>
          <w:rFonts w:hint="default" w:ascii="Times New Roman" w:hAnsi="Times New Roman" w:eastAsia="方正仿宋_GBK" w:cs="Times New Roman"/>
          <w:color w:val="000000"/>
          <w:sz w:val="32"/>
          <w:szCs w:val="32"/>
        </w:rPr>
        <w:t>完善突发公共事件医疗卫生应急救援体系建设。强化重点自然灾害和生产安全事故风险隐患的实时综合监测，准确发布灾害预警信息，全面提升应对风险水平。</w:t>
      </w:r>
      <w:r>
        <w:rPr>
          <w:rFonts w:hint="default" w:ascii="Times New Roman" w:hAnsi="Times New Roman" w:eastAsia="方正楷体_GBK" w:cs="Times New Roman"/>
          <w:color w:val="000000"/>
          <w:kern w:val="0"/>
          <w:sz w:val="32"/>
          <w:szCs w:val="32"/>
          <w:lang w:val="en" w:eastAsia="zh-CN" w:bidi="ar-SA"/>
        </w:rPr>
        <w:t>〔责任部门：市应急局、</w:t>
      </w:r>
      <w:r>
        <w:rPr>
          <w:rFonts w:hint="default" w:ascii="Times New Roman" w:hAnsi="Times New Roman" w:eastAsia="方正楷体_GBK" w:cs="Times New Roman"/>
          <w:color w:val="000000"/>
          <w:kern w:val="0"/>
          <w:sz w:val="32"/>
          <w:szCs w:val="32"/>
          <w:lang w:val="en-US" w:eastAsia="zh-CN" w:bidi="ar-SA"/>
        </w:rPr>
        <w:t>市</w:t>
      </w:r>
      <w:r>
        <w:rPr>
          <w:rFonts w:hint="default" w:ascii="Times New Roman" w:hAnsi="Times New Roman" w:eastAsia="方正楷体_GBK" w:cs="Times New Roman"/>
          <w:color w:val="000000"/>
          <w:kern w:val="0"/>
          <w:sz w:val="32"/>
          <w:szCs w:val="32"/>
          <w:highlight w:val="none"/>
          <w:lang w:val="en-US" w:eastAsia="zh-CN" w:bidi="ar-SA"/>
        </w:rPr>
        <w:t>气象局、</w:t>
      </w:r>
      <w:r>
        <w:rPr>
          <w:rFonts w:hint="default" w:ascii="Times New Roman" w:hAnsi="Times New Roman" w:eastAsia="方正楷体_GBK" w:cs="Times New Roman"/>
          <w:color w:val="000000"/>
          <w:kern w:val="0"/>
          <w:sz w:val="32"/>
          <w:szCs w:val="32"/>
          <w:highlight w:val="none"/>
          <w:lang w:val="en" w:eastAsia="zh-CN" w:bidi="ar-SA"/>
        </w:rPr>
        <w:t>市卫健委</w:t>
      </w:r>
      <w:r>
        <w:rPr>
          <w:rFonts w:hint="default" w:ascii="Times New Roman" w:hAnsi="Times New Roman" w:eastAsia="方正楷体_GBK" w:cs="Times New Roman"/>
          <w:color w:val="000000"/>
          <w:kern w:val="0"/>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责任</w:t>
      </w:r>
      <w:r>
        <w:rPr>
          <w:rFonts w:hint="default" w:ascii="Times New Roman" w:hAnsi="Times New Roman" w:eastAsia="方正仿宋_GBK" w:cs="Times New Roman"/>
          <w:color w:val="000000"/>
          <w:sz w:val="32"/>
          <w:szCs w:val="32"/>
        </w:rPr>
        <w:t>部门要根据此任务清单，成立相应的推进专班，按照“五化”</w:t>
      </w:r>
      <w:r>
        <w:rPr>
          <w:rFonts w:hint="default" w:ascii="Times New Roman" w:hAnsi="Times New Roman" w:cs="Times New Roman"/>
          <w:color w:val="000000"/>
          <w:sz w:val="32"/>
          <w:szCs w:val="32"/>
          <w:lang w:val="en-US" w:eastAsia="zh-CN"/>
        </w:rPr>
        <w:t>闭环</w:t>
      </w:r>
      <w:r>
        <w:rPr>
          <w:rFonts w:hint="default" w:ascii="Times New Roman" w:hAnsi="Times New Roman" w:eastAsia="方正仿宋_GBK" w:cs="Times New Roman"/>
          <w:color w:val="000000"/>
          <w:sz w:val="32"/>
          <w:szCs w:val="32"/>
        </w:rPr>
        <w:t>工作法制定本地区、本领域的细化专项清单，确保主要</w:t>
      </w:r>
      <w:r>
        <w:rPr>
          <w:rFonts w:hint="default" w:ascii="Times New Roman" w:hAnsi="Times New Roman" w:eastAsia="方正仿宋_GBK" w:cs="Times New Roman"/>
          <w:color w:val="000000"/>
          <w:sz w:val="32"/>
          <w:szCs w:val="32"/>
          <w:lang w:eastAsia="zh-CN"/>
        </w:rPr>
        <w:t>任务</w:t>
      </w:r>
      <w:r>
        <w:rPr>
          <w:rFonts w:hint="default" w:ascii="Times New Roman" w:hAnsi="Times New Roman" w:eastAsia="方正仿宋_GBK" w:cs="Times New Roman"/>
          <w:color w:val="000000"/>
          <w:sz w:val="32"/>
          <w:szCs w:val="32"/>
        </w:rPr>
        <w:t>顺利推进、重大项目加快落地、重大政策和改革举措尽快落实。任务清单采取动态调整修订机制，实行年度测评、动态管理、定期调整，确保“十四五”后</w:t>
      </w:r>
      <w:r>
        <w:rPr>
          <w:rFonts w:hint="default" w:ascii="Times New Roman" w:hAnsi="Times New Roman" w:eastAsia="方正仿宋_GBK" w:cs="Times New Roman"/>
          <w:color w:val="000000"/>
          <w:sz w:val="32"/>
          <w:szCs w:val="32"/>
          <w:lang w:eastAsia="zh-CN"/>
        </w:rPr>
        <w:t>半程</w:t>
      </w:r>
      <w:r>
        <w:rPr>
          <w:rFonts w:hint="default" w:ascii="Times New Roman" w:hAnsi="Times New Roman" w:eastAsia="方正仿宋_GBK" w:cs="Times New Roman"/>
          <w:color w:val="000000"/>
          <w:sz w:val="32"/>
          <w:szCs w:val="32"/>
        </w:rPr>
        <w:t>各项重点工作、重点项目顺利实施、取得成效。</w:t>
      </w:r>
    </w:p>
    <w:p/>
    <w:sectPr>
      <w:headerReference r:id="rId5" w:type="default"/>
      <w:footerReference r:id="rId6" w:type="default"/>
      <w:pgSz w:w="11906" w:h="16838"/>
      <w:pgMar w:top="2211" w:right="1474" w:bottom="1701" w:left="1588" w:header="851" w:footer="992" w:gutter="0"/>
      <w:cols w:space="720" w:num="1"/>
      <w:docGrid w:type="lines" w:linePitch="4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center"/>
      <w:rPr>
        <w:rFonts w:ascii="宋体" w:eastAsia="宋体" w:cs="Times New Roman"/>
        <w:sz w:val="28"/>
        <w:szCs w:val="28"/>
      </w:rPr>
    </w:pP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 PAGE \* Arabic \* MERGEFORMAT </w:instrText>
    </w:r>
    <w:r>
      <w:rPr>
        <w:rFonts w:ascii="宋体" w:eastAsia="宋体" w:cs="宋体"/>
        <w:sz w:val="28"/>
        <w:szCs w:val="28"/>
      </w:rPr>
      <w:fldChar w:fldCharType="separate"/>
    </w:r>
    <w:r>
      <w:rPr>
        <w:rFonts w:ascii="宋体" w:eastAsia="宋体" w:cs="宋体"/>
        <w:sz w:val="28"/>
        <w:szCs w:val="28"/>
      </w:rPr>
      <w:t>2</w:t>
    </w:r>
    <w:r>
      <w:rPr>
        <w:rFonts w:ascii="宋体" w:eastAsia="宋体" w:cs="宋体"/>
        <w:sz w:val="28"/>
        <w:szCs w:val="28"/>
      </w:rPr>
      <w:fldChar w:fldCharType="end"/>
    </w:r>
    <w:r>
      <w:rPr>
        <w:rFonts w:asci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zY5OTQ5MzJiNmU4NTA2ZjQzMTA5NjI0NDdiZDYifQ=="/>
  </w:docVars>
  <w:rsids>
    <w:rsidRoot w:val="6DD80B2C"/>
    <w:rsid w:val="6DD8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6" w:lineRule="exact"/>
      <w:jc w:val="both"/>
    </w:pPr>
    <w:rPr>
      <w:rFonts w:ascii="等线" w:hAnsi="等线" w:eastAsia="方正仿宋_GBK" w:cs="等线"/>
      <w:kern w:val="2"/>
      <w:sz w:val="32"/>
      <w:szCs w:val="3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Normal New"/>
    <w:next w:val="2"/>
    <w:autoRedefine/>
    <w:qFormat/>
    <w:uiPriority w:val="0"/>
    <w:pPr>
      <w:widowControl w:val="0"/>
      <w:jc w:val="both"/>
    </w:pPr>
    <w:rPr>
      <w:rFonts w:ascii="Times New Roman" w:hAnsi="Times New Roman" w:eastAsia="Times New Roman"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2024-01-29T02:31:00Z</dcterms:created>
  <dc:creator>慧慧</dc:creator>
  <cp:lastModifiedBy>慧慧</cp:lastModifiedBy>
  <dcterms:modified xsi:type="dcterms:W3CDTF">2024-01-29T02:32:37Z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08D9B90CBF9F4E0BBC2E550F316D77D3_11</vt:lpwstr>
  </property>
</Properties>
</file>