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C31E5"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 w14:paraId="112D1C36">
      <w:pPr>
        <w:pStyle w:val="7"/>
        <w:ind w:left="0" w:leftChars="0" w:firstLine="0" w:firstLineChars="0"/>
        <w:rPr>
          <w:rFonts w:hint="default" w:ascii="Times New Roman" w:hAnsi="Times New Roman" w:cs="Times New Roman"/>
        </w:rPr>
      </w:pPr>
    </w:p>
    <w:p w14:paraId="31DB94A1">
      <w:pPr>
        <w:pStyle w:val="2"/>
        <w:rPr>
          <w:rFonts w:hint="default" w:ascii="Times New Roman" w:hAnsi="Times New Roman" w:cs="Times New Roman"/>
        </w:rPr>
      </w:pPr>
    </w:p>
    <w:p w14:paraId="26FA7834">
      <w:pPr>
        <w:rPr>
          <w:rFonts w:hint="default" w:ascii="Times New Roman" w:hAnsi="Times New Roman" w:cs="Times New Roman"/>
        </w:rPr>
      </w:pPr>
    </w:p>
    <w:p w14:paraId="6775BE64">
      <w:pPr>
        <w:pStyle w:val="7"/>
        <w:rPr>
          <w:rFonts w:hint="default"/>
        </w:rPr>
      </w:pPr>
    </w:p>
    <w:p w14:paraId="7C092D8B">
      <w:pPr>
        <w:pStyle w:val="2"/>
        <w:rPr>
          <w:rFonts w:hint="default"/>
        </w:rPr>
      </w:pPr>
    </w:p>
    <w:p w14:paraId="34F72846">
      <w:pPr>
        <w:rPr>
          <w:rFonts w:hint="default"/>
        </w:rPr>
      </w:pPr>
    </w:p>
    <w:p w14:paraId="46B93D88">
      <w:pPr>
        <w:pStyle w:val="7"/>
        <w:rPr>
          <w:rFonts w:hint="default"/>
        </w:rPr>
      </w:pPr>
    </w:p>
    <w:p w14:paraId="7128C2A5">
      <w:pPr>
        <w:pStyle w:val="2"/>
        <w:rPr>
          <w:rFonts w:hint="default"/>
        </w:rPr>
      </w:pPr>
    </w:p>
    <w:p w14:paraId="5E033C2A">
      <w:pPr>
        <w:pStyle w:val="2"/>
        <w:rPr>
          <w:rFonts w:hint="default" w:ascii="Times New Roman" w:hAnsi="Times New Roman" w:cs="Times New Roman"/>
        </w:rPr>
      </w:pPr>
    </w:p>
    <w:p w14:paraId="17DC9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95"/>
          <w:sz w:val="52"/>
          <w:szCs w:val="52"/>
        </w:rPr>
      </w:pPr>
      <w:bookmarkStart w:id="8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95"/>
          <w:sz w:val="52"/>
          <w:szCs w:val="52"/>
        </w:rPr>
        <w:t>白城市本级2025年住房发展年度计划</w:t>
      </w:r>
    </w:p>
    <w:bookmarkEnd w:id="8"/>
    <w:p w14:paraId="541F9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0DFEE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20D6F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407730E3">
      <w:pPr>
        <w:rPr>
          <w:rFonts w:hint="default" w:ascii="Times New Roman" w:hAnsi="Times New Roman" w:cs="Times New Roman"/>
        </w:rPr>
      </w:pPr>
    </w:p>
    <w:p w14:paraId="51F6C739">
      <w:pPr>
        <w:pStyle w:val="7"/>
        <w:rPr>
          <w:rFonts w:hint="default"/>
        </w:rPr>
      </w:pPr>
    </w:p>
    <w:p w14:paraId="5D268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33A12D0E">
      <w:pPr>
        <w:pStyle w:val="7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150E6588"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7E90223E">
      <w:pP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0DC07053">
      <w:pPr>
        <w:pStyle w:val="7"/>
        <w:rPr>
          <w:rFonts w:hint="default"/>
        </w:rPr>
      </w:pPr>
    </w:p>
    <w:p w14:paraId="6F880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</w:p>
    <w:p w14:paraId="147A1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6"/>
          <w:szCs w:val="36"/>
        </w:rPr>
        <w:t>白城市住房和城乡建设局</w:t>
      </w:r>
    </w:p>
    <w:p w14:paraId="73BC7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6"/>
          <w:szCs w:val="36"/>
        </w:rPr>
        <w:t>2025年3月</w:t>
      </w:r>
    </w:p>
    <w:p w14:paraId="6E101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0BA31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618FB875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宋体" w:cs="Times New Roman"/>
          <w:sz w:val="44"/>
          <w:szCs w:val="44"/>
        </w:rPr>
      </w:pPr>
      <w:bookmarkStart w:id="0" w:name="_Toc1587334693_WPSOffice_Type1"/>
      <w:r>
        <w:rPr>
          <w:rFonts w:hint="default" w:ascii="Times New Roman" w:hAnsi="Times New Roman" w:eastAsia="宋体" w:cs="Times New Roman"/>
          <w:sz w:val="44"/>
          <w:szCs w:val="44"/>
        </w:rPr>
        <w:t>目  录</w:t>
      </w:r>
    </w:p>
    <w:p w14:paraId="29CE2BF6">
      <w:pPr>
        <w:pStyle w:val="8"/>
        <w:tabs>
          <w:tab w:val="right" w:leader="dot" w:pos="8845"/>
        </w:tabs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宋体" w:cs="Times New Roman"/>
          <w:sz w:val="32"/>
          <w:szCs w:val="32"/>
        </w:rPr>
        <w:instrText xml:space="preserve"> HYPERLINK \l _Toc248308640_WPSOffice_Level1 </w:instrText>
      </w:r>
      <w:r>
        <w:rPr>
          <w:rFonts w:hint="default" w:ascii="Times New Roman" w:hAnsi="Times New Roman" w:eastAsia="宋体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宋体" w:cs="Times New Roman"/>
          <w:sz w:val="32"/>
          <w:szCs w:val="32"/>
        </w:rPr>
        <w:t>一、2024年度工作完成情况</w:t>
      </w:r>
      <w:r>
        <w:rPr>
          <w:rFonts w:hint="default" w:ascii="Times New Roman" w:hAnsi="Times New Roman" w:eastAsia="宋体" w:cs="Times New Roman"/>
          <w:sz w:val="32"/>
          <w:szCs w:val="32"/>
        </w:rPr>
        <w:tab/>
      </w:r>
      <w:r>
        <w:rPr>
          <w:rFonts w:hint="default" w:ascii="Times New Roman" w:hAnsi="Times New Roman" w:eastAsia="宋体" w:cs="Times New Roman"/>
          <w:sz w:val="32"/>
          <w:szCs w:val="32"/>
        </w:rPr>
        <w:t>5</w:t>
      </w:r>
      <w:r>
        <w:rPr>
          <w:rFonts w:hint="default" w:ascii="Times New Roman" w:hAnsi="Times New Roman" w:eastAsia="宋体" w:cs="Times New Roman"/>
          <w:sz w:val="32"/>
          <w:szCs w:val="32"/>
        </w:rPr>
        <w:fldChar w:fldCharType="end"/>
      </w:r>
    </w:p>
    <w:p w14:paraId="62E0FB66">
      <w:pPr>
        <w:pStyle w:val="8"/>
        <w:tabs>
          <w:tab w:val="right" w:leader="dot" w:pos="8845"/>
        </w:tabs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宋体" w:cs="Times New Roman"/>
          <w:sz w:val="32"/>
          <w:szCs w:val="32"/>
        </w:rPr>
        <w:instrText xml:space="preserve"> HYPERLINK \l _Toc1341060897_WPSOffice_Level1 </w:instrText>
      </w:r>
      <w:r>
        <w:rPr>
          <w:rFonts w:hint="default" w:ascii="Times New Roman" w:hAnsi="Times New Roman" w:eastAsia="宋体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宋体" w:cs="Times New Roman"/>
          <w:sz w:val="32"/>
          <w:szCs w:val="32"/>
        </w:rPr>
        <w:t>二、2025年度实施计划</w:t>
      </w:r>
      <w:r>
        <w:rPr>
          <w:rFonts w:hint="default" w:ascii="Times New Roman" w:hAnsi="Times New Roman" w:eastAsia="宋体" w:cs="Times New Roman"/>
          <w:sz w:val="32"/>
          <w:szCs w:val="32"/>
        </w:rPr>
        <w:tab/>
      </w:r>
      <w:bookmarkStart w:id="1" w:name="_Toc1341060897_WPSOffice_Level1Page"/>
      <w:r>
        <w:rPr>
          <w:rFonts w:hint="default" w:ascii="Times New Roman" w:hAnsi="Times New Roman" w:eastAsia="宋体" w:cs="Times New Roman"/>
          <w:sz w:val="32"/>
          <w:szCs w:val="32"/>
        </w:rPr>
        <w:t>5</w:t>
      </w:r>
      <w:bookmarkEnd w:id="1"/>
      <w:r>
        <w:rPr>
          <w:rFonts w:hint="default" w:ascii="Times New Roman" w:hAnsi="Times New Roman" w:eastAsia="宋体" w:cs="Times New Roman"/>
          <w:sz w:val="32"/>
          <w:szCs w:val="32"/>
        </w:rPr>
        <w:fldChar w:fldCharType="end"/>
      </w:r>
    </w:p>
    <w:p w14:paraId="2F3F3529">
      <w:pPr>
        <w:pStyle w:val="8"/>
        <w:tabs>
          <w:tab w:val="right" w:leader="dot" w:pos="8845"/>
        </w:tabs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宋体" w:cs="Times New Roman"/>
          <w:sz w:val="32"/>
          <w:szCs w:val="32"/>
        </w:rPr>
        <w:instrText xml:space="preserve"> HYPERLINK \l _Toc902854771_WPSOffice_Level1 </w:instrText>
      </w:r>
      <w:r>
        <w:rPr>
          <w:rFonts w:hint="default" w:ascii="Times New Roman" w:hAnsi="Times New Roman" w:eastAsia="宋体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宋体" w:cs="Times New Roman"/>
          <w:sz w:val="32"/>
          <w:szCs w:val="32"/>
        </w:rPr>
        <w:t>三、政策措施</w:t>
      </w:r>
      <w:r>
        <w:rPr>
          <w:rFonts w:hint="default" w:ascii="Times New Roman" w:hAnsi="Times New Roman" w:eastAsia="宋体" w:cs="Times New Roman"/>
          <w:sz w:val="32"/>
          <w:szCs w:val="32"/>
        </w:rPr>
        <w:tab/>
      </w:r>
      <w:bookmarkStart w:id="2" w:name="_Toc902854771_WPSOffice_Level1Page"/>
      <w:r>
        <w:rPr>
          <w:rFonts w:hint="default" w:ascii="Times New Roman" w:hAnsi="Times New Roman" w:eastAsia="宋体" w:cs="Times New Roman"/>
          <w:sz w:val="32"/>
          <w:szCs w:val="32"/>
        </w:rPr>
        <w:t>8</w:t>
      </w:r>
      <w:bookmarkEnd w:id="2"/>
      <w:r>
        <w:rPr>
          <w:rFonts w:hint="default" w:ascii="Times New Roman" w:hAnsi="Times New Roman" w:eastAsia="宋体" w:cs="Times New Roman"/>
          <w:sz w:val="32"/>
          <w:szCs w:val="32"/>
        </w:rPr>
        <w:fldChar w:fldCharType="end"/>
      </w:r>
    </w:p>
    <w:p w14:paraId="23C5C2C9">
      <w:pPr>
        <w:pStyle w:val="8"/>
        <w:tabs>
          <w:tab w:val="right" w:leader="dot" w:pos="8845"/>
        </w:tabs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宋体" w:cs="Times New Roman"/>
          <w:sz w:val="32"/>
          <w:szCs w:val="32"/>
        </w:rPr>
        <w:instrText xml:space="preserve"> HYPERLINK \l _Toc909037499_WPSOffice_Level1 </w:instrText>
      </w:r>
      <w:r>
        <w:rPr>
          <w:rFonts w:hint="default" w:ascii="Times New Roman" w:hAnsi="Times New Roman" w:eastAsia="宋体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宋体" w:cs="Times New Roman"/>
          <w:sz w:val="32"/>
          <w:szCs w:val="32"/>
        </w:rPr>
        <w:t>四、实施保障</w:t>
      </w:r>
      <w:r>
        <w:rPr>
          <w:rFonts w:hint="default" w:ascii="Times New Roman" w:hAnsi="Times New Roman" w:eastAsia="宋体" w:cs="Times New Roman"/>
          <w:sz w:val="32"/>
          <w:szCs w:val="32"/>
        </w:rPr>
        <w:tab/>
      </w:r>
      <w:bookmarkStart w:id="3" w:name="_Toc909037499_WPSOffice_Level1Page"/>
      <w:r>
        <w:rPr>
          <w:rFonts w:hint="default" w:ascii="Times New Roman" w:hAnsi="Times New Roman" w:eastAsia="宋体" w:cs="Times New Roman"/>
          <w:sz w:val="32"/>
          <w:szCs w:val="32"/>
        </w:rPr>
        <w:t>10</w:t>
      </w:r>
      <w:bookmarkEnd w:id="3"/>
      <w:r>
        <w:rPr>
          <w:rFonts w:hint="default" w:ascii="Times New Roman" w:hAnsi="Times New Roman" w:eastAsia="宋体" w:cs="Times New Roman"/>
          <w:sz w:val="32"/>
          <w:szCs w:val="32"/>
        </w:rPr>
        <w:fldChar w:fldCharType="end"/>
      </w:r>
      <w:bookmarkEnd w:id="0"/>
    </w:p>
    <w:p w14:paraId="354C6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4B1EC47C">
      <w:pPr>
        <w:pStyle w:val="7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3F8E9880"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60FEC7C5">
      <w:pP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788116D5">
      <w:pPr>
        <w:pStyle w:val="7"/>
        <w:rPr>
          <w:rFonts w:hint="default" w:ascii="Times New Roman" w:hAnsi="Times New Roman" w:cs="Times New Roman"/>
        </w:rPr>
      </w:pPr>
    </w:p>
    <w:p w14:paraId="3C3A2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42EE8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3DE21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46295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23C1E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77603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157AF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417F2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392A7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49259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5C6DB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3530E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31851F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 w:bidi="ar"/>
        </w:rPr>
        <w:t>为贯彻落实国家和省关于房地产市场平稳健康发展的决策部署，适应房地产市场供求关系发生重大变化的新形势，促进房地产市场供需平衡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结合本市实际，编制本计划。</w:t>
      </w:r>
    </w:p>
    <w:p w14:paraId="348CC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bookmarkStart w:id="4" w:name="_Toc248308640_WPSOffice_Level1"/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一、2024年度工作完成情况</w:t>
      </w:r>
      <w:bookmarkEnd w:id="4"/>
    </w:p>
    <w:p w14:paraId="7F2D2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</w:rPr>
        <w:t>（一）房地产开发投资情况。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2024年，我市市本级共完成房地产开发投资1.9448亿元。</w:t>
      </w:r>
    </w:p>
    <w:p w14:paraId="269DE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</w:rPr>
        <w:t>（二）商品房销售情况。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1-12月，我市市本级共销售商品房7.7186万平方米，同比增长-28.1%。</w:t>
      </w:r>
    </w:p>
    <w:p w14:paraId="06543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</w:rPr>
        <w:t>（三）商品房预售批准情况。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2024年，我市市本级批准预售商品房面积1.65万平方米，113套。</w:t>
      </w:r>
    </w:p>
    <w:p w14:paraId="3CE51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</w:rPr>
        <w:t>（四）保障房屋情况。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2024年省下达我市租赁补贴发放计划1200户，累计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发放租赁住房补贴1662户、236.65万元；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按照年度安排，按份共有产权30%廉租房通过审核133户，收取国有产权转让133户，收取资金308万元；做好政府完全产权公共租赁住房（公租房）年度审核，合格家庭1005户，收取租金66万元。</w:t>
      </w:r>
    </w:p>
    <w:p w14:paraId="2BD9C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bookmarkStart w:id="5" w:name="_Toc1341060897_WPSOffice_Level1"/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二、2025年度实施计划</w:t>
      </w:r>
      <w:bookmarkEnd w:id="5"/>
    </w:p>
    <w:p w14:paraId="725DF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</w:rPr>
        <w:t>（一）用地安排目标</w:t>
      </w:r>
    </w:p>
    <w:p w14:paraId="5D4A3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根据我市住房供需状况和市场调控目标，考虑人口流动因素，控制开发总量和供应节奏，稳定商品住房价格。科学调控供应结构，控制投资型住房消费，重点支持住房刚性和改善性需求，提高中低价位、中小套型普通商品住房供应比例，引导住房供应满足多样化的居住需求。依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公安部门提供数据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截至2024年末，白城市（本级）市区人口57.09万人（含暂住），其中：城区人口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25.76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万人（含暂住）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。依据《白城市自然资源局关于印发&lt;白城市本级2025年度国有建设用地供应计划&gt;的通知》（白自然资字〔2025〕23号），2025年度白城市本级国有建设用地供应总量控制在493.5公顷内。其中，住宅用地36公顷（保障性住房用地0公顷、棚户区改造用地4公顷、公共租赁住房用地0公顷、商品住房用地32公顷）；商服用地3.5公顷；工矿仓储用地140公顷；公共管理与公共服务用地17公顷；交通运输用地225公顷；水域及水利设施用地1公顷，特殊用地44.5公顷；公用设施用地12公顷；绿地与开敞空间用地14.5公顷。</w:t>
      </w:r>
    </w:p>
    <w:p w14:paraId="7F2A2336">
      <w:pPr>
        <w:bidi w:val="0"/>
        <w:rPr>
          <w:rFonts w:hint="default" w:ascii="Times New Roman" w:hAnsi="Times New Roman" w:cs="Times New Roman"/>
          <w:highlight w:val="none"/>
        </w:rPr>
      </w:pPr>
    </w:p>
    <w:p w14:paraId="62060B77">
      <w:pPr>
        <w:bidi w:val="0"/>
        <w:rPr>
          <w:rFonts w:hint="default" w:ascii="Times New Roman" w:hAnsi="Times New Roman" w:cs="Times New Roman"/>
          <w:highlight w:val="none"/>
        </w:rPr>
      </w:pPr>
    </w:p>
    <w:p w14:paraId="71DC9263">
      <w:pPr>
        <w:bidi w:val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5606415" cy="3230245"/>
            <wp:effectExtent l="0" t="0" r="1905" b="635"/>
            <wp:docPr id="3" name="图片 3" descr="白城市本级2025年度国有建设用地供应计划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白城市本级2025年度国有建设用地供应计划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1D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</w:rPr>
        <w:t>（二）开工建设目标</w:t>
      </w:r>
    </w:p>
    <w:p w14:paraId="7D2065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2025年计划新开工商品房建筑面积约23.37万平方米，约1430套。</w:t>
      </w:r>
    </w:p>
    <w:p w14:paraId="7B121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</w:rPr>
        <w:t>（三）供应目标</w:t>
      </w:r>
    </w:p>
    <w:p w14:paraId="08E6D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2025年计划批准预售商品房面积约7.1万平方米，约340套。</w:t>
      </w:r>
    </w:p>
    <w:p w14:paraId="5CEAB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</w:rPr>
        <w:t>（四）保障性住房、城中村改造和棚户区（城市危房）改造计划</w:t>
      </w:r>
    </w:p>
    <w:p w14:paraId="426259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依据省住建厅、省发改委、省财政厅《关于报送2024年保障性住房、城中村改造和棚户区（城市危旧房）改造计划的通知》（吉建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号）文件，202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年国家和省工作重点为保租房（配售型保障性住房、配租型保障性住房）、城中村改造和棚户区（城市危旧房）改造等三项。</w:t>
      </w:r>
    </w:p>
    <w:p w14:paraId="06CDB8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1.保障性租赁住房（配售型保障性住房、配租型保障性住房）</w:t>
      </w:r>
    </w:p>
    <w:p w14:paraId="586075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保障性租赁住房主要是解决新市民、青年人等群体的住房困难问题。我省只有长春市申报了保障性租赁住房建设计划。其他城市无需求。配售型保障性住房类似于我市按份共有产权廉租住房，需建立完善建设、申请、轮候、配售、运营等管理制度。配售型保障性住房项目，要成立新公司实施，不得有任何债务和历史遗留问题，不得将保交楼未销售房源、棚改安置剩余房源、公租房闲置房源纳入配售型保障性住房年度计划。配租型保障性住房是现在我们实施的公租房保障，具体以实物配租和租赁补贴并举，主要针对低保、低收入住房困难家庭申请应保尽保，此外，我市也根据国家、省有关文件要求，实施扩面保障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出台了《白城市市区公共租赁住房保障实施细则（试行）》（白政规〔2023〕5号），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将省部级以上劳模家庭、引进人才、“见义勇为”家庭、低收入家庭（包括低保家庭、特困供养家庭和低保边缘家庭）、消防救援人员、优抚对象、持证残疾人、环卫工人、公交职工、大中专院校、职校、机关、企事业单位及外来工作人员中无住房或住房困难的、新就业大学生（含新疆、西藏在我市新就业大学生）、青年医生、青年教师、中等偏下收入家庭、其他符合条件的其他人员等纳入住房保障范围。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年中央财政支持长春市、吉林市建设筹集公共租赁住房。我市尚有剩余未分配住宅房源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1109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套、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5.07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万平方米（政府完全产权公租房剩余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497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套、按份共有产权剩余6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套），计划202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年我市申请租赁补贴计划为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1350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户。</w:t>
      </w:r>
    </w:p>
    <w:p w14:paraId="01D582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2.城中村改造</w:t>
      </w:r>
    </w:p>
    <w:p w14:paraId="06C418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当前我市申报城中村改造条件尚不成熟。</w:t>
      </w:r>
    </w:p>
    <w:p w14:paraId="5E93C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bookmarkStart w:id="6" w:name="_Toc902854771_WPSOffice_Level1"/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三、政策措施</w:t>
      </w:r>
      <w:bookmarkEnd w:id="6"/>
    </w:p>
    <w:p w14:paraId="4C65A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以“稳地价、稳房价、稳预期”为目标，稳妥实施房地产发展长效机制，严格落实房地产调控政策，防范市场风险，持续开展房地产市场秩序治理，建立全周期、全流程、全覆盖监管体系。</w:t>
      </w:r>
    </w:p>
    <w:p w14:paraId="1D95B2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highlight w:val="none"/>
          <w:lang w:val="en-US" w:eastAsia="zh-CN" w:bidi="ar"/>
        </w:rPr>
        <w:t>持续促进房地产市场止跌回稳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 w:bidi="ar"/>
        </w:rPr>
        <w:t>落实各项存量政策、增量政策，打好“四个取消、四个降低、两个增加”政策“组合拳”，精准支持居民刚性和改善性住房需求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。因城施策，加强土地、金融和市场监管等政策的协同，完善人、房、地、钱四位一体的房地产联动调控机制，加强房地产市场供需双向调节，准确把握开发建设进度等调控措施，支持刚性住房需求，坚决遏制投机炒房，保持房地产市场供求关系平衡。压实城市主体责任，细化部门职责分工，形成工作合力，对房地产市场出现的新情况、新问题，积极提供政策支持和工作指导，努力实现我市人民住有所居的美好生活目标。</w:t>
      </w:r>
    </w:p>
    <w:p w14:paraId="400813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highlight w:val="none"/>
          <w:lang w:val="en-US" w:eastAsia="zh-CN" w:bidi="ar"/>
        </w:rPr>
        <w:t>（二）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highlight w:val="none"/>
          <w:lang w:eastAsia="zh-CN" w:bidi="ar"/>
        </w:rPr>
        <w:t>全力推进“好房子”项目建设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加快构建房地产发展新模式，充分释放改善性住房需求潜力，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通过有效供给促进潜在消费需求，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打造安全、舒适、绿色、智慧的“好房子”项目，满足人民群众对高品质生活的新期待。</w:t>
      </w:r>
    </w:p>
    <w:p w14:paraId="058F6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</w:rPr>
        <w:t>（三）继续实施鼓励农民进城购房工作。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落实省政府支持农民进城购房文件精神，结合我市实际，协调市财政、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税务、教育等部门，出台鼓励农民进城购房相关优惠政策，充分发挥消费对经济增长的基础性作用，降低农民购房成本，支持农民向城市流动。</w:t>
      </w:r>
    </w:p>
    <w:p w14:paraId="3EE60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（四）商品房预售资金监督管理。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规范商品房预售资金监督管理，维护商品房交易双方合法权益，保持商品房价格稳定可控，继续按照《白城市商品房预售资金监督管理暂行办法》，对市本级商品房开发项目预售资金实施监管，明确监管方式、监管比例和监管措施，切实保障房屋交易安全。</w:t>
      </w:r>
    </w:p>
    <w:p w14:paraId="1B0AF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（五）房地产市场整治。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持续整治规范房地产市场秩序，加大市场监管力度，全面开展市场巡查工作，加大对捂盘惜售、囤积房源，散布虚假信息、哄抬房价、扰乱市场秩序等违法违规行为的查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处力度；加强房地产市场监测，规范房地产市场信息发布机制，逐步建立公平、有序、诚信的房地产市场环境。</w:t>
      </w:r>
    </w:p>
    <w:p w14:paraId="1ADDB9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highlight w:val="none"/>
          <w:lang w:val="en-US" w:eastAsia="zh-CN" w:bidi="ar"/>
        </w:rPr>
        <w:t>（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highlight w:val="none"/>
          <w:lang w:eastAsia="zh-CN" w:bidi="ar"/>
        </w:rPr>
        <w:t>六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highlight w:val="none"/>
          <w:lang w:val="en-US" w:eastAsia="zh-CN" w:bidi="ar"/>
        </w:rPr>
        <w:t>）持续完善房地产融资协调机制。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 w:bidi="ar"/>
        </w:rPr>
        <w:t>推动融资协调机制扩围增效，切实用好房地产投融资对接工作机制，加大“白名单”项目贷款投放力度，推进合规项目“应进尽进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”、已审贷款“应贷尽贷”、资金拨付“能早尽早”，满足房地产项目合理融资需求，支持项目建设交付。</w:t>
      </w:r>
    </w:p>
    <w:p w14:paraId="7A554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trike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trike w:val="0"/>
          <w:sz w:val="32"/>
          <w:szCs w:val="32"/>
          <w:highlight w:val="none"/>
        </w:rPr>
        <w:t>（七）</w:t>
      </w:r>
      <w:r>
        <w:rPr>
          <w:rFonts w:hint="default" w:ascii="Times New Roman" w:hAnsi="Times New Roman" w:eastAsia="方正楷体_GBK" w:cs="Times New Roman"/>
          <w:strike w:val="0"/>
          <w:sz w:val="32"/>
          <w:szCs w:val="32"/>
          <w:highlight w:val="none"/>
          <w:lang w:val="en-US" w:eastAsia="zh-CN"/>
        </w:rPr>
        <w:t>公共租赁住房保障。</w:t>
      </w:r>
      <w:r>
        <w:rPr>
          <w:rFonts w:hint="default" w:ascii="Times New Roman" w:hAnsi="Times New Roman" w:eastAsia="方正仿宋_GBK" w:cs="Times New Roman"/>
          <w:strike w:val="0"/>
          <w:dstrike w:val="0"/>
          <w:sz w:val="32"/>
          <w:szCs w:val="32"/>
          <w:highlight w:val="none"/>
        </w:rPr>
        <w:t>贯彻落实</w:t>
      </w:r>
      <w:r>
        <w:rPr>
          <w:rFonts w:hint="default" w:ascii="Times New Roman" w:hAnsi="Times New Roman" w:eastAsia="方正仿宋_GBK" w:cs="Times New Roman"/>
          <w:strike w:val="0"/>
          <w:dstrike w:val="0"/>
          <w:sz w:val="32"/>
          <w:szCs w:val="32"/>
          <w:highlight w:val="none"/>
          <w:lang w:val="en-US" w:eastAsia="zh-CN"/>
        </w:rPr>
        <w:t>好</w:t>
      </w:r>
      <w:r>
        <w:rPr>
          <w:rFonts w:hint="default" w:ascii="Times New Roman" w:hAnsi="Times New Roman" w:eastAsia="方正仿宋_GBK" w:cs="Times New Roman"/>
          <w:strike w:val="0"/>
          <w:dstrike w:val="0"/>
          <w:sz w:val="32"/>
          <w:szCs w:val="32"/>
          <w:highlight w:val="none"/>
        </w:rPr>
        <w:t>《白城市人民政府关于印发白城市市区公共租赁住房保障实施细则（试行）》</w:t>
      </w:r>
      <w:r>
        <w:rPr>
          <w:rFonts w:hint="default" w:ascii="Times New Roman" w:hAnsi="Times New Roman" w:eastAsia="方正仿宋_GBK" w:cs="Times New Roman"/>
          <w:strike w:val="0"/>
          <w:dstrike w:val="0"/>
          <w:sz w:val="32"/>
          <w:szCs w:val="32"/>
          <w:highlight w:val="none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精神</w:t>
      </w:r>
      <w:r>
        <w:rPr>
          <w:rFonts w:hint="default" w:ascii="Times New Roman" w:hAnsi="Times New Roman" w:eastAsia="方正仿宋_GBK" w:cs="Times New Roman"/>
          <w:strike w:val="0"/>
          <w:dstrike w:val="0"/>
          <w:sz w:val="32"/>
          <w:szCs w:val="32"/>
          <w:highlight w:val="none"/>
        </w:rPr>
        <w:t>，认真做好公租房保障群体拓展政策解读和培训等工作，组织</w:t>
      </w:r>
      <w:r>
        <w:rPr>
          <w:rFonts w:hint="default" w:ascii="Times New Roman" w:hAnsi="Times New Roman" w:eastAsia="方正仿宋_GBK" w:cs="Times New Roman"/>
          <w:strike w:val="0"/>
          <w:dstrike w:val="0"/>
          <w:sz w:val="32"/>
          <w:szCs w:val="32"/>
          <w:highlight w:val="none"/>
          <w:lang w:val="en-US" w:eastAsia="zh-CN"/>
        </w:rPr>
        <w:t>好</w:t>
      </w:r>
      <w:r>
        <w:rPr>
          <w:rFonts w:hint="default" w:ascii="Times New Roman" w:hAnsi="Times New Roman" w:eastAsia="方正仿宋_GBK" w:cs="Times New Roman"/>
          <w:strike w:val="0"/>
          <w:dstrike w:val="0"/>
          <w:sz w:val="32"/>
          <w:szCs w:val="32"/>
          <w:highlight w:val="none"/>
        </w:rPr>
        <w:t>各街道办事处、社区进行申请审核</w:t>
      </w:r>
      <w:r>
        <w:rPr>
          <w:rFonts w:hint="default" w:ascii="Times New Roman" w:hAnsi="Times New Roman" w:eastAsia="方正仿宋_GBK" w:cs="Times New Roman"/>
          <w:strike w:val="0"/>
          <w:dstrike w:val="0"/>
          <w:sz w:val="32"/>
          <w:szCs w:val="32"/>
          <w:highlight w:val="none"/>
          <w:lang w:val="en-US" w:eastAsia="zh-CN"/>
        </w:rPr>
        <w:t>工作，做好公租房规范管理，不断提升保障对象满意度和获得感。</w:t>
      </w:r>
    </w:p>
    <w:p w14:paraId="772D5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7" w:name="_Toc909037499_WPSOffice_Level1"/>
      <w:r>
        <w:rPr>
          <w:rFonts w:hint="default" w:ascii="Times New Roman" w:hAnsi="Times New Roman" w:eastAsia="方正黑体_GBK" w:cs="Times New Roman"/>
          <w:sz w:val="32"/>
          <w:szCs w:val="32"/>
        </w:rPr>
        <w:t>四、实施保障</w:t>
      </w:r>
      <w:bookmarkEnd w:id="7"/>
    </w:p>
    <w:p w14:paraId="71DFF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（一）加强组织领导。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建立健全工作机制，要加强联动，形成上下贯通、执行有力的组织领导体系。各有关部门各司其职、加强协调、密切配合，落实政策措施和建设项目，构建长效机制。统筹协调、加强对接，自觉把新发展理念融入工作全过程，共同推动住房发展事业，造福于民。</w:t>
      </w:r>
    </w:p>
    <w:p w14:paraId="5E134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（二）强化政策保障。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贯彻落实《住房城乡建设部关于做好住房发展规划和年度计划编制工作的通知》（建房函〔2024〕20号）、《关于转发住建部&lt;关于做好住房发展规划和年度计划编制工作通知&gt;的通知》（吉建函〔2024〕172号）和《吉林省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eastAsia="zh-CN"/>
        </w:rPr>
        <w:t>住房和城乡建设事业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发展“十四五”规划》文件精神，建立白城市城镇住房发展的制度体系，推动城镇住房发展。</w:t>
      </w:r>
    </w:p>
    <w:p w14:paraId="61E3E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（三）注重舆论引导。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认真做好年度计划的宣传解读工作，准确解读房地产市场形势和政策，及时回应社会关切，整治房地产信息网络传播乱象，营造良好的市场舆论氛围。准确传递年度计划和政策导向，提高人民群众对城镇住房发展的认识，引导广大群众树立正确的住房消费观念，稳定市场预期。</w:t>
      </w:r>
    </w:p>
    <w:p w14:paraId="0DB24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210" w:firstLineChars="1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1AEC3ED9"/>
    <w:sectPr>
      <w:footerReference r:id="rId5" w:type="default"/>
      <w:footerReference r:id="rId6" w:type="even"/>
      <w:pgSz w:w="11907" w:h="16840"/>
      <w:pgMar w:top="2041" w:right="1474" w:bottom="2041" w:left="1474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FFB11">
    <w:pPr>
      <w:pStyle w:val="3"/>
      <w:framePr w:w="1100" w:h="529" w:hRule="exact" w:wrap="around" w:vAnchor="text" w:hAnchor="page" w:x="9306" w:y="-73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</w:rPr>
    </w:pPr>
    <w:r>
      <w:rPr>
        <w:rFonts w:hint="eastAsia" w:ascii="宋体"/>
        <w:sz w:val="28"/>
      </w:rPr>
      <w:fldChar w:fldCharType="begin"/>
    </w:r>
    <w:r>
      <w:rPr>
        <w:rStyle w:val="6"/>
        <w:rFonts w:hint="eastAsia" w:ascii="宋体"/>
        <w:sz w:val="28"/>
      </w:rPr>
      <w:instrText xml:space="preserve">Page</w:instrText>
    </w:r>
    <w:r>
      <w:rPr>
        <w:rFonts w:hint="eastAsia" w:ascii="宋体"/>
        <w:sz w:val="28"/>
      </w:rPr>
      <w:fldChar w:fldCharType="separate"/>
    </w:r>
    <w:r>
      <w:rPr>
        <w:rStyle w:val="6"/>
        <w:rFonts w:hint="eastAsia" w:ascii="宋体"/>
        <w:sz w:val="28"/>
      </w:rPr>
      <w:t>- 1 -</w:t>
    </w:r>
    <w:r>
      <w:rPr>
        <w:rFonts w:hint="eastAsia" w:ascii="宋体"/>
        <w:sz w:val="28"/>
      </w:rPr>
      <w:fldChar w:fldCharType="end"/>
    </w:r>
  </w:p>
  <w:p w14:paraId="60B54E76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E6DC7">
    <w:pPr>
      <w:pStyle w:val="3"/>
      <w:framePr w:w="1307" w:h="594" w:hRule="exact" w:wrap="around" w:vAnchor="text" w:hAnchor="page" w:x="1790" w:y="-73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</w:rPr>
    </w:pPr>
    <w:r>
      <w:rPr>
        <w:rFonts w:hint="eastAsia" w:ascii="宋体"/>
        <w:sz w:val="28"/>
      </w:rPr>
      <w:fldChar w:fldCharType="begin"/>
    </w:r>
    <w:r>
      <w:rPr>
        <w:rStyle w:val="6"/>
        <w:rFonts w:hint="eastAsia" w:ascii="宋体"/>
        <w:sz w:val="28"/>
      </w:rPr>
      <w:instrText xml:space="preserve">Page</w:instrText>
    </w:r>
    <w:r>
      <w:rPr>
        <w:rFonts w:hint="eastAsia" w:ascii="宋体"/>
        <w:sz w:val="28"/>
      </w:rPr>
      <w:fldChar w:fldCharType="separate"/>
    </w:r>
    <w:r>
      <w:rPr>
        <w:rStyle w:val="6"/>
        <w:rFonts w:hint="eastAsia" w:ascii="宋体"/>
        <w:sz w:val="28"/>
      </w:rPr>
      <w:t>- 1 -</w:t>
    </w:r>
    <w:r>
      <w:rPr>
        <w:rFonts w:hint="eastAsia" w:ascii="宋体"/>
        <w:sz w:val="28"/>
      </w:rPr>
      <w:fldChar w:fldCharType="end"/>
    </w:r>
  </w:p>
  <w:p w14:paraId="0968C7D1">
    <w:pPr>
      <w:pStyle w:val="3"/>
      <w:framePr w:w="1307" w:h="594" w:hRule="exact" w:wrap="around" w:vAnchor="text" w:hAnchor="page" w:x="1790" w:y="-73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/>
    </w:pPr>
  </w:p>
  <w:p w14:paraId="544CCF88"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53EF"/>
    <w:multiLevelType w:val="singleLevel"/>
    <w:tmpl w:val="FFFE53E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A56A3"/>
    <w:rsid w:val="4CEA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样式 正文11 + 首行缩进:  2 字符"/>
    <w:basedOn w:val="1"/>
    <w:next w:val="2"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8"/>
    </w:rPr>
  </w:style>
  <w:style w:type="paragraph" w:customStyle="1" w:styleId="8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2025-04-29T01:02:00Z</dcterms:created>
  <dc:creator>高博</dc:creator>
  <cp:lastModifiedBy>高博</cp:lastModifiedBy>
  <dcterms:modified xsi:type="dcterms:W3CDTF">2025-04-29T01:03:12Z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E378F13D438541C7A1055F3FA602A2A7_11</vt:lpwstr>
  </property>
  <property fmtid="{D5CDD505-2E9C-101B-9397-08002B2CF9AE}" pid="4" name="KSOTemplateDocerSaveRecord">
    <vt:lpwstr>eyJoZGlkIjoiNmM4OGZmODUyZDMxZjc1Y2Q0YmIxMTI0NTk3NjM3YzEiLCJ1c2VySWQiOiIxMTUwNDEzMTA1In0=</vt:lpwstr>
  </property>
</Properties>
</file>