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44"/>
          <w:szCs w:val="44"/>
        </w:rPr>
      </w:pPr>
      <w:r>
        <w:rPr>
          <w:rFonts w:hint="eastAsia" w:ascii="宋体" w:hAnsi="宋体" w:cs="宋体"/>
          <w:b/>
          <w:bCs/>
          <w:sz w:val="44"/>
          <w:szCs w:val="44"/>
        </w:rPr>
        <w:t>白城市种养加小微企业培育计划</w:t>
      </w:r>
    </w:p>
    <w:p>
      <w:pPr>
        <w:spacing w:line="360" w:lineRule="auto"/>
        <w:ind w:firstLine="640" w:firstLineChars="200"/>
        <w:rPr>
          <w:rFonts w:ascii="仿宋" w:hAnsi="仿宋" w:eastAsia="仿宋" w:cs="仿宋_GB2312"/>
          <w:sz w:val="32"/>
          <w:szCs w:val="32"/>
        </w:rPr>
      </w:pPr>
    </w:p>
    <w:p>
      <w:pPr>
        <w:spacing w:line="360" w:lineRule="auto"/>
        <w:ind w:firstLine="640" w:firstLineChars="200"/>
        <w:jc w:val="left"/>
        <w:rPr>
          <w:rFonts w:ascii="宋体" w:hAnsi="宋体" w:cs="宋体"/>
          <w:b/>
          <w:bCs/>
          <w:sz w:val="32"/>
          <w:szCs w:val="32"/>
        </w:rPr>
      </w:pPr>
      <w:r>
        <w:rPr>
          <w:rFonts w:hint="eastAsia" w:ascii="仿宋_GB2312" w:hAnsi="仿宋_GB2312" w:eastAsia="仿宋_GB2312" w:cs="仿宋_GB2312"/>
          <w:sz w:val="32"/>
          <w:szCs w:val="32"/>
        </w:rPr>
        <w:t>为深入贯彻落实市委六届五次全会和市六届人大三次会议精神，全面实施农牧业高质量发展“五大行动”，大力培育发展白城农业特色产业，实现种养加产业布局、基地建设、品牌打造、市场开拓等进一步优化完善，带动农户特别是贫困户脱贫增收能力不断增强。特制定如下培育计划：</w:t>
      </w:r>
    </w:p>
    <w:p>
      <w:pPr>
        <w:spacing w:line="360" w:lineRule="auto"/>
        <w:ind w:firstLine="640" w:firstLineChars="200"/>
        <w:jc w:val="left"/>
        <w:rPr>
          <w:rFonts w:ascii="宋体" w:hAnsi="宋体" w:cs="宋体"/>
          <w:b/>
          <w:bCs/>
          <w:sz w:val="44"/>
          <w:szCs w:val="44"/>
        </w:rPr>
      </w:pPr>
      <w:r>
        <w:rPr>
          <w:rFonts w:hint="eastAsia" w:ascii="黑体" w:hAnsi="黑体" w:eastAsia="黑体" w:cs="黑体"/>
          <w:sz w:val="32"/>
          <w:szCs w:val="32"/>
        </w:rPr>
        <w:t>一、主要目标</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根据各地农业小微企业发展基础，全市筛选种养加小微企业100户，其中，大安20户、洮南20户、镇赉17户、通榆17户、洮北16户，开发区（园区、查干浩特）10户。</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二、确定范围和条件</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重点是粮食、畜禽和特产品深加工领域，统筹兼顾、全面发展，全市种养加农业企业均可。具备以下条件：</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1、在各县（市、区）范围内登记注册，具有独立法人资格的种养加小微企业。</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2、在近二年内无违法违规行为，无重大安全、环保、质量等事故和重大群体性事件发生而受到相关行政管理部门处罚。</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3、企业经营状况稳定，经济效益和社会效益良好，产品质量较好且有一定产量，有较好的消费者口碑和信誉，无欺诈用户行为，在同行业内具有良好的影响和带动作用。</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4、在发展成果、管理创新、技术创新、产品研发、品牌影响力等方面领域具备较强能力和良好条件，发展目标清晰，特色明显，保障措施可行有力，具有示范引领作用。</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5、热爱公益事业，主动承担社会责任，带动贫困户20户以上，贫困户获得较好收益。</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三、主要任务</w:t>
      </w:r>
    </w:p>
    <w:p>
      <w:pPr>
        <w:spacing w:line="360"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（一）精心谋划农产品加工项目。</w:t>
      </w:r>
      <w:r>
        <w:rPr>
          <w:rFonts w:hint="eastAsia" w:ascii="仿宋_GB2312" w:hAnsi="仿宋_GB2312" w:eastAsia="仿宋_GB2312" w:cs="仿宋_GB2312"/>
          <w:sz w:val="32"/>
          <w:szCs w:val="32"/>
        </w:rPr>
        <w:t>瞄准各产业科技前沿高端产品，依托权威机构，统一编制一批市场前景好、科技含量高、投资收益大的农产品加工项目，作为对外招商的蓝本；选择经营管理好、市场潜力大的骨干企业，以延长产业链条，促进产业升级为重点，编制技改扩能项目，挖掘现有企业的生产潜能；围绕国家财政政策、产业政策谋划项目，重点编制水利基础设施建设、农业机械推广、品种繁育改良及绿色、有机农产品开发等方面项目，争取国家政策性资金扶持。</w:t>
      </w:r>
    </w:p>
    <w:p>
      <w:pPr>
        <w:pStyle w:val="5"/>
        <w:spacing w:before="0" w:beforeAutospacing="0" w:after="0" w:afterAutospacing="0" w:line="360" w:lineRule="auto"/>
        <w:ind w:firstLine="643" w:firstLineChars="200"/>
        <w:jc w:val="both"/>
        <w:rPr>
          <w:rFonts w:ascii="仿宋_GB2312" w:eastAsia="仿宋_GB2312"/>
          <w:sz w:val="32"/>
          <w:szCs w:val="32"/>
        </w:rPr>
      </w:pPr>
      <w:r>
        <w:rPr>
          <w:rFonts w:hint="eastAsia" w:ascii="楷体_GB2312" w:hAnsi="楷体_GB2312" w:eastAsia="楷体_GB2312" w:cs="楷体_GB2312"/>
          <w:b/>
          <w:bCs/>
          <w:kern w:val="2"/>
          <w:sz w:val="32"/>
          <w:szCs w:val="32"/>
        </w:rPr>
        <w:t>（二）着力推进精深加工企业建设。</w:t>
      </w:r>
      <w:r>
        <w:rPr>
          <w:rFonts w:hint="eastAsia" w:ascii="仿宋_GB2312" w:hAnsi="仿宋_GB2312" w:eastAsia="仿宋_GB2312" w:cs="仿宋_GB2312"/>
          <w:kern w:val="2"/>
          <w:sz w:val="32"/>
          <w:szCs w:val="32"/>
        </w:rPr>
        <w:t>以深度开发利用特色农产品资源、不断延长产业链条作为建设特色农产品加工基地为核心内容。依托市、县两级工业园区，坚持域外招商和域内挖潜并举，全力引进和建设精深加工项目。重点扶持通榆天意辣椒、吉运肉牛、镇赉吉天然等精深加工企业全产业链中带动农户能力强的小微企业或产业发展环节。玉米、水稻、辣椒、肉牛、奶牛、肉羊等重点产业在精深加工领域实现重大突破，显著提升了特色农产品精深加工水平。</w:t>
      </w:r>
    </w:p>
    <w:p>
      <w:pPr>
        <w:pStyle w:val="2"/>
        <w:ind w:firstLine="643"/>
        <w:rPr>
          <w:rFonts w:ascii="仿宋_GB2312" w:hAnsi="仿宋_GB2312" w:cs="仿宋_GB2312"/>
          <w:szCs w:val="32"/>
        </w:rPr>
      </w:pPr>
      <w:r>
        <w:rPr>
          <w:rFonts w:hint="eastAsia" w:ascii="楷体_GB2312" w:hAnsi="楷体_GB2312" w:eastAsia="楷体_GB2312" w:cs="楷体_GB2312"/>
          <w:b/>
          <w:bCs/>
          <w:sz w:val="32"/>
          <w:szCs w:val="32"/>
        </w:rPr>
        <w:t>（三）积极促进企业与基地合作。</w:t>
      </w:r>
      <w:r>
        <w:rPr>
          <w:rFonts w:hint="eastAsia" w:ascii="仿宋_GB2312" w:hAnsi="仿宋_GB2312" w:eastAsia="仿宋_GB2312" w:cs="仿宋_GB2312"/>
          <w:sz w:val="32"/>
          <w:szCs w:val="32"/>
        </w:rPr>
        <w:t>积极引导加工企业和基地农户采取定单形式进行合作，越来越多的龙头企业采取保底价收购、垫付生产费用、承建基地抗旱设施等做法，最大限度取信于民、让利于民，以小微企业带动贫困户为主导的合作模式基本确立，产销合作由松散型快速向紧密型发展。全市辣椒、水稻、粘玉米、肉鸡、奶牛等产业基本实现定单生产。</w:t>
      </w:r>
    </w:p>
    <w:p>
      <w:pPr>
        <w:spacing w:line="360"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（四）努力提升小微企业带户增收。</w:t>
      </w:r>
      <w:r>
        <w:rPr>
          <w:rFonts w:hint="eastAsia" w:ascii="仿宋_GB2312" w:hAnsi="仿宋_GB2312" w:eastAsia="仿宋_GB2312" w:cs="仿宋_GB2312"/>
          <w:sz w:val="32"/>
          <w:szCs w:val="32"/>
        </w:rPr>
        <w:t>培育种养加小微企业100户。采取“小微企业+贫困户”模式，对小微企业进行扶持和培育，建立带贫扶贫台账，签订种养订单合同，完善与贫困户的利益联结机制，发展农业产业化经营。使贫困地区农民拥有更多的流转方式选择，拓展贫困人口收入来源。通过与贫困户在规模化种植养殖签订订单、有针对性吸纳就业等方式，带动贫困群众增收。</w:t>
      </w:r>
    </w:p>
    <w:p>
      <w:pPr>
        <w:spacing w:line="360"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（五）大力推进农畜产品品牌建设。</w:t>
      </w:r>
      <w:r>
        <w:rPr>
          <w:rFonts w:hint="eastAsia" w:ascii="仿宋_GB2312" w:hAnsi="仿宋_GB2312" w:eastAsia="仿宋_GB2312" w:cs="仿宋_GB2312"/>
          <w:sz w:val="32"/>
          <w:szCs w:val="32"/>
        </w:rPr>
        <w:t>培育产品品牌，鼓励和支持小微企业开发产品，注册商标，培育自己特色品牌。培育企业品牌，以产品品牌为基础，培育和创建一批知名企业品牌，集聚要素，扩大影响，提升企业规模和产业层次。宣传区域品牌，积极宣传、推介和输出白城燕麦、白城绿豆等区域公共品牌，创建一批特产之乡、地理标志和原产地品牌，提高区域产品的市场竞争力。</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四、保障措施</w:t>
      </w:r>
    </w:p>
    <w:p>
      <w:pPr>
        <w:spacing w:line="360"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（一）强化项目支撑。</w:t>
      </w:r>
      <w:r>
        <w:rPr>
          <w:rFonts w:hint="eastAsia" w:ascii="仿宋_GB2312" w:hAnsi="仿宋_GB2312" w:eastAsia="仿宋_GB2312" w:cs="仿宋_GB2312"/>
          <w:sz w:val="32"/>
          <w:szCs w:val="32"/>
        </w:rPr>
        <w:t>对小微企业申报各种项目等优先给予安排。在申请市级以上农业产业化龙头企业时，优先予以推荐认定。组织小微企业积极参加招商、展会活动，提升小微企业的知名度和社会影响力。</w:t>
      </w:r>
    </w:p>
    <w:p>
      <w:pPr>
        <w:spacing w:line="360"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（二）强化财政支撑。</w:t>
      </w:r>
      <w:r>
        <w:rPr>
          <w:rFonts w:hint="eastAsia" w:ascii="仿宋_GB2312" w:hAnsi="仿宋_GB2312" w:eastAsia="仿宋_GB2312" w:cs="仿宋_GB2312"/>
          <w:sz w:val="32"/>
          <w:szCs w:val="32"/>
        </w:rPr>
        <w:t>对小微企业在贷款贴息、农业产业化产加销一体化项目、为农民贷款担保等给予优先补助支持。在建设农产品保鲜、储藏、烘干、分级、包装等初加工设施优先给予补助。</w:t>
      </w:r>
    </w:p>
    <w:p>
      <w:pPr>
        <w:spacing w:line="360"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（三）强化金融支撑。</w:t>
      </w:r>
      <w:r>
        <w:rPr>
          <w:rFonts w:hint="eastAsia" w:ascii="仿宋_GB2312" w:hAnsi="仿宋_GB2312" w:eastAsia="仿宋_GB2312" w:cs="仿宋_GB2312"/>
          <w:sz w:val="32"/>
          <w:szCs w:val="32"/>
        </w:rPr>
        <w:t>组织小微企业与金融机构对接与合作，提高金融机构对农产品加工业的融资服务水平，扩大小微企业融资渠道，帮助小微企业融资难融资贵的问题。</w:t>
      </w:r>
    </w:p>
    <w:p>
      <w:pPr>
        <w:spacing w:line="360"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（四）强化科技支撑。</w:t>
      </w:r>
      <w:r>
        <w:rPr>
          <w:rFonts w:hint="eastAsia" w:ascii="仿宋_GB2312" w:hAnsi="仿宋_GB2312" w:eastAsia="仿宋_GB2312" w:cs="仿宋_GB2312"/>
          <w:sz w:val="32"/>
          <w:szCs w:val="32"/>
        </w:rPr>
        <w:t>鼓励小微企业与高校、科研院所与企业嫁接、引进科研基地落户企业，搭建联合攻关研发平台，培育一批市场竞争力强的小微企业。</w:t>
      </w:r>
    </w:p>
    <w:p>
      <w:pPr>
        <w:spacing w:line="360"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（五）强化市场支撑。</w:t>
      </w:r>
      <w:r>
        <w:rPr>
          <w:rFonts w:hint="eastAsia" w:ascii="仿宋_GB2312" w:hAnsi="仿宋_GB2312" w:eastAsia="仿宋_GB2312" w:cs="仿宋_GB2312"/>
          <w:sz w:val="32"/>
          <w:szCs w:val="32"/>
        </w:rPr>
        <w:t>支持小微企业大力发展连锁店、直营店、配送中心和电子商务，大力发展农超对接，积极开展直供直营。支持小微企业参加各种形式的展示展销活动，积极推进品牌整合，强化品牌宣传和保护。</w:t>
      </w:r>
    </w:p>
    <w:p>
      <w:pPr>
        <w:spacing w:line="360"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（六）强化人才支撑。</w:t>
      </w:r>
      <w:r>
        <w:rPr>
          <w:rFonts w:hint="eastAsia" w:ascii="仿宋_GB2312" w:hAnsi="仿宋_GB2312" w:eastAsia="仿宋_GB2312" w:cs="仿宋_GB2312"/>
          <w:sz w:val="32"/>
          <w:szCs w:val="32"/>
        </w:rPr>
        <w:t>经常组织企业家走出去，到国内外知名企业进行的参观考察和学习研修，全面提高小微企业宏观决策、驾驭市场、风险控制、创新经营等方面能力。</w:t>
      </w:r>
    </w:p>
    <w:p>
      <w:pPr>
        <w:spacing w:line="360" w:lineRule="auto"/>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（七）强化组织支撑。</w:t>
      </w:r>
      <w:r>
        <w:rPr>
          <w:rFonts w:hint="eastAsia" w:ascii="仿宋_GB2312" w:hAnsi="仿宋_GB2312" w:eastAsia="仿宋_GB2312" w:cs="仿宋_GB2312"/>
          <w:sz w:val="32"/>
          <w:szCs w:val="32"/>
        </w:rPr>
        <w:t>每年召开一次种养加小微企业发展专题会议，研究解决小微企业发展中遇到困难和问题。就有关优惠政策向小微企业予以倾斜，支持小微企业发展。培养小微企业典型， 宣传引导示范。市农业农村局实行定期调度，把小微企业发展纳入市政府目标考核，实行重点督办。</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 系 人：王安 </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办公电话：3225708 </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手    机：13843692390</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    箱：wa2390@126.com</w:t>
      </w:r>
    </w:p>
    <w:p>
      <w:pPr>
        <w:spacing w:line="360" w:lineRule="auto"/>
        <w:ind w:firstLine="640" w:firstLineChars="200"/>
        <w:rPr>
          <w:rFonts w:ascii="仿宋_GB2312" w:hAnsi="仿宋_GB2312" w:eastAsia="仿宋_GB2312" w:cs="仿宋_GB2312"/>
          <w:sz w:val="32"/>
          <w:szCs w:val="32"/>
        </w:rPr>
      </w:pP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附件：白城市小微企业登记表</w:t>
      </w:r>
    </w:p>
    <w:p>
      <w:pPr>
        <w:spacing w:line="360" w:lineRule="auto"/>
        <w:ind w:firstLine="640" w:firstLineChars="200"/>
        <w:jc w:val="lef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ind w:firstLine="4800" w:firstLineChars="1500"/>
        <w:rPr>
          <w:rFonts w:ascii="仿宋_GB2312" w:hAnsi="仿宋_GB2312" w:eastAsia="仿宋_GB2312" w:cs="仿宋_GB2312"/>
          <w:sz w:val="32"/>
          <w:szCs w:val="32"/>
        </w:rPr>
      </w:pPr>
    </w:p>
    <w:p>
      <w:pPr>
        <w:spacing w:line="580" w:lineRule="exact"/>
        <w:ind w:firstLine="4800" w:firstLineChars="1500"/>
        <w:rPr>
          <w:rFonts w:ascii="仿宋_GB2312" w:hAnsi="仿宋_GB2312" w:eastAsia="仿宋_GB2312" w:cs="仿宋_GB2312"/>
          <w:sz w:val="32"/>
          <w:szCs w:val="32"/>
        </w:rPr>
      </w:pPr>
    </w:p>
    <w:p>
      <w:pPr>
        <w:ind w:firstLine="4800" w:firstLineChars="1500"/>
        <w:rPr>
          <w:rFonts w:ascii="仿宋_GB2312" w:hAnsi="仿宋_GB2312" w:eastAsia="仿宋_GB2312" w:cs="仿宋_GB2312"/>
          <w:sz w:val="32"/>
          <w:szCs w:val="32"/>
        </w:rPr>
      </w:pPr>
    </w:p>
    <w:p>
      <w:pPr>
        <w:spacing w:line="580" w:lineRule="exact"/>
        <w:jc w:val="center"/>
        <w:rPr>
          <w:rFonts w:ascii="宋体" w:hAnsi="宋体" w:cs="宋体"/>
          <w:b/>
          <w:bCs/>
          <w:sz w:val="44"/>
          <w:szCs w:val="44"/>
        </w:rPr>
      </w:pPr>
    </w:p>
    <w:p>
      <w:pPr>
        <w:spacing w:line="580" w:lineRule="exact"/>
        <w:jc w:val="center"/>
        <w:rPr>
          <w:rFonts w:ascii="宋体" w:hAnsi="宋体" w:cs="宋体"/>
          <w:b/>
          <w:bCs/>
          <w:sz w:val="44"/>
          <w:szCs w:val="44"/>
        </w:rPr>
      </w:pPr>
    </w:p>
    <w:p>
      <w:pPr>
        <w:spacing w:line="580" w:lineRule="exact"/>
        <w:jc w:val="center"/>
        <w:rPr>
          <w:rFonts w:hint="eastAsia" w:ascii="宋体" w:hAnsi="宋体" w:cs="宋体"/>
          <w:b/>
          <w:bCs/>
          <w:sz w:val="44"/>
          <w:szCs w:val="44"/>
        </w:rPr>
      </w:pPr>
    </w:p>
    <w:p>
      <w:pPr>
        <w:spacing w:line="580" w:lineRule="exact"/>
        <w:jc w:val="center"/>
        <w:rPr>
          <w:rFonts w:hint="eastAsia" w:ascii="宋体" w:hAnsi="宋体" w:cs="宋体"/>
          <w:b/>
          <w:bCs/>
          <w:sz w:val="44"/>
          <w:szCs w:val="44"/>
        </w:rPr>
      </w:pPr>
    </w:p>
    <w:p>
      <w:pPr>
        <w:spacing w:line="580" w:lineRule="exact"/>
        <w:jc w:val="center"/>
        <w:rPr>
          <w:rFonts w:hint="eastAsia" w:ascii="宋体" w:hAnsi="宋体" w:cs="宋体"/>
          <w:b/>
          <w:bCs/>
          <w:sz w:val="44"/>
          <w:szCs w:val="44"/>
        </w:rPr>
      </w:pPr>
    </w:p>
    <w:p>
      <w:pPr>
        <w:spacing w:line="580" w:lineRule="exact"/>
        <w:jc w:val="center"/>
        <w:rPr>
          <w:rFonts w:hint="eastAsia" w:ascii="宋体" w:hAnsi="宋体" w:cs="宋体"/>
          <w:b/>
          <w:bCs/>
          <w:sz w:val="44"/>
          <w:szCs w:val="44"/>
        </w:rPr>
      </w:pPr>
    </w:p>
    <w:p>
      <w:pPr>
        <w:spacing w:line="580" w:lineRule="exact"/>
        <w:jc w:val="center"/>
        <w:rPr>
          <w:rFonts w:hint="eastAsia" w:ascii="宋体" w:hAnsi="宋体" w:cs="宋体"/>
          <w:b/>
          <w:bCs/>
          <w:sz w:val="44"/>
          <w:szCs w:val="44"/>
        </w:rPr>
      </w:pPr>
    </w:p>
    <w:p>
      <w:pPr>
        <w:spacing w:line="580" w:lineRule="exact"/>
        <w:jc w:val="center"/>
        <w:rPr>
          <w:rFonts w:hint="eastAsia" w:ascii="宋体" w:hAnsi="宋体" w:cs="宋体"/>
          <w:b/>
          <w:bCs/>
          <w:sz w:val="44"/>
          <w:szCs w:val="44"/>
        </w:rPr>
      </w:pPr>
    </w:p>
    <w:p>
      <w:pPr>
        <w:spacing w:line="580" w:lineRule="exact"/>
        <w:jc w:val="center"/>
        <w:rPr>
          <w:rFonts w:ascii="宋体" w:hAnsi="宋体" w:cs="宋体"/>
          <w:b/>
          <w:bCs/>
          <w:sz w:val="44"/>
          <w:szCs w:val="44"/>
        </w:rPr>
      </w:pPr>
    </w:p>
    <w:p>
      <w:pPr>
        <w:spacing w:line="580" w:lineRule="exact"/>
        <w:jc w:val="center"/>
        <w:rPr>
          <w:rFonts w:ascii="宋体" w:hAnsi="宋体" w:cs="宋体"/>
          <w:b/>
          <w:bCs/>
          <w:sz w:val="44"/>
          <w:szCs w:val="44"/>
        </w:rPr>
      </w:pPr>
    </w:p>
    <w:p>
      <w:pPr>
        <w:spacing w:line="580" w:lineRule="exact"/>
        <w:jc w:val="center"/>
        <w:rPr>
          <w:rFonts w:ascii="宋体" w:hAnsi="宋体" w:cs="宋体"/>
          <w:b/>
          <w:bCs/>
          <w:sz w:val="44"/>
          <w:szCs w:val="44"/>
        </w:rPr>
      </w:pPr>
    </w:p>
    <w:p>
      <w:pPr>
        <w:spacing w:line="580" w:lineRule="exact"/>
        <w:jc w:val="center"/>
        <w:rPr>
          <w:rFonts w:ascii="宋体" w:hAnsi="宋体" w:cs="宋体"/>
          <w:b/>
          <w:bCs/>
          <w:sz w:val="44"/>
          <w:szCs w:val="44"/>
        </w:rPr>
      </w:pPr>
    </w:p>
    <w:p>
      <w:pPr>
        <w:spacing w:line="580" w:lineRule="exact"/>
        <w:jc w:val="center"/>
        <w:rPr>
          <w:rFonts w:ascii="宋体" w:hAnsi="宋体" w:cs="宋体"/>
          <w:b/>
          <w:bCs/>
          <w:sz w:val="44"/>
          <w:szCs w:val="44"/>
        </w:rPr>
      </w:pPr>
      <w:r>
        <w:rPr>
          <w:rFonts w:hint="eastAsia" w:ascii="宋体" w:hAnsi="宋体" w:cs="宋体"/>
          <w:b/>
          <w:bCs/>
          <w:sz w:val="44"/>
          <w:szCs w:val="44"/>
        </w:rPr>
        <w:t>白城市小微企业登记表</w:t>
      </w:r>
    </w:p>
    <w:tbl>
      <w:tblPr>
        <w:tblStyle w:val="3"/>
        <w:tblpPr w:leftFromText="180" w:rightFromText="180" w:vertAnchor="text" w:horzAnchor="page" w:tblpX="1885" w:tblpY="275"/>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995"/>
        <w:gridCol w:w="1470"/>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130" w:type="dxa"/>
            <w:noWrap w:val="0"/>
            <w:vAlign w:val="center"/>
          </w:tcPr>
          <w:p>
            <w:pPr>
              <w:spacing w:line="580" w:lineRule="exact"/>
              <w:jc w:val="center"/>
              <w:rPr>
                <w:rFonts w:ascii="宋体" w:hAnsi="宋体" w:cs="宋体"/>
                <w:sz w:val="28"/>
                <w:szCs w:val="28"/>
              </w:rPr>
            </w:pPr>
            <w:r>
              <w:rPr>
                <w:rFonts w:hint="eastAsia" w:ascii="宋体" w:hAnsi="宋体" w:cs="宋体"/>
                <w:sz w:val="28"/>
                <w:szCs w:val="28"/>
              </w:rPr>
              <w:t>企业名称</w:t>
            </w:r>
          </w:p>
        </w:tc>
        <w:tc>
          <w:tcPr>
            <w:tcW w:w="2995" w:type="dxa"/>
            <w:noWrap w:val="0"/>
            <w:vAlign w:val="center"/>
          </w:tcPr>
          <w:p>
            <w:pPr>
              <w:spacing w:line="580" w:lineRule="exact"/>
              <w:jc w:val="center"/>
              <w:rPr>
                <w:rFonts w:ascii="仿宋_GB2312" w:hAnsi="仿宋_GB2312" w:eastAsia="仿宋_GB2312" w:cs="仿宋_GB2312"/>
                <w:szCs w:val="21"/>
              </w:rPr>
            </w:pPr>
          </w:p>
        </w:tc>
        <w:tc>
          <w:tcPr>
            <w:tcW w:w="1470" w:type="dxa"/>
            <w:noWrap w:val="0"/>
            <w:vAlign w:val="center"/>
          </w:tcPr>
          <w:p>
            <w:pPr>
              <w:spacing w:line="580" w:lineRule="exact"/>
              <w:jc w:val="center"/>
              <w:rPr>
                <w:rFonts w:ascii="宋体" w:hAnsi="宋体" w:cs="宋体"/>
                <w:sz w:val="28"/>
                <w:szCs w:val="28"/>
              </w:rPr>
            </w:pPr>
            <w:r>
              <w:rPr>
                <w:rFonts w:hint="eastAsia" w:ascii="宋体" w:hAnsi="宋体" w:cs="宋体"/>
                <w:sz w:val="28"/>
                <w:szCs w:val="28"/>
              </w:rPr>
              <w:t>法人</w:t>
            </w:r>
          </w:p>
        </w:tc>
        <w:tc>
          <w:tcPr>
            <w:tcW w:w="1925" w:type="dxa"/>
            <w:noWrap w:val="0"/>
            <w:vAlign w:val="top"/>
          </w:tcPr>
          <w:p>
            <w:pPr>
              <w:spacing w:line="58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130" w:type="dxa"/>
            <w:noWrap w:val="0"/>
            <w:vAlign w:val="center"/>
          </w:tcPr>
          <w:p>
            <w:pPr>
              <w:spacing w:line="580" w:lineRule="exact"/>
              <w:jc w:val="center"/>
              <w:rPr>
                <w:rFonts w:ascii="宋体" w:hAnsi="宋体" w:cs="宋体"/>
                <w:sz w:val="28"/>
                <w:szCs w:val="28"/>
              </w:rPr>
            </w:pPr>
            <w:r>
              <w:rPr>
                <w:rFonts w:hint="eastAsia" w:ascii="宋体" w:hAnsi="宋体" w:cs="宋体"/>
                <w:sz w:val="28"/>
                <w:szCs w:val="28"/>
              </w:rPr>
              <w:t>所在地</w:t>
            </w:r>
          </w:p>
        </w:tc>
        <w:tc>
          <w:tcPr>
            <w:tcW w:w="6390" w:type="dxa"/>
            <w:gridSpan w:val="3"/>
            <w:noWrap w:val="0"/>
            <w:vAlign w:val="center"/>
          </w:tcPr>
          <w:p>
            <w:pPr>
              <w:spacing w:line="58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130" w:type="dxa"/>
            <w:noWrap w:val="0"/>
            <w:vAlign w:val="center"/>
          </w:tcPr>
          <w:p>
            <w:pPr>
              <w:spacing w:line="580" w:lineRule="exact"/>
              <w:jc w:val="center"/>
              <w:rPr>
                <w:rFonts w:ascii="宋体" w:hAnsi="宋体" w:cs="宋体"/>
                <w:sz w:val="28"/>
                <w:szCs w:val="28"/>
              </w:rPr>
            </w:pPr>
            <w:r>
              <w:rPr>
                <w:rFonts w:hint="eastAsia" w:ascii="宋体" w:hAnsi="宋体" w:cs="宋体"/>
                <w:sz w:val="28"/>
                <w:szCs w:val="28"/>
              </w:rPr>
              <w:t>企业级别</w:t>
            </w:r>
          </w:p>
        </w:tc>
        <w:tc>
          <w:tcPr>
            <w:tcW w:w="2995" w:type="dxa"/>
            <w:noWrap w:val="0"/>
            <w:vAlign w:val="center"/>
          </w:tcPr>
          <w:p>
            <w:pPr>
              <w:spacing w:line="580" w:lineRule="exact"/>
              <w:jc w:val="center"/>
              <w:rPr>
                <w:rFonts w:ascii="仿宋_GB2312" w:hAnsi="仿宋_GB2312" w:eastAsia="仿宋_GB2312" w:cs="仿宋_GB2312"/>
                <w:b/>
                <w:bCs/>
                <w:sz w:val="28"/>
                <w:szCs w:val="28"/>
              </w:rPr>
            </w:pPr>
          </w:p>
        </w:tc>
        <w:tc>
          <w:tcPr>
            <w:tcW w:w="1470" w:type="dxa"/>
            <w:noWrap w:val="0"/>
            <w:vAlign w:val="center"/>
          </w:tcPr>
          <w:p>
            <w:pPr>
              <w:spacing w:line="580" w:lineRule="exact"/>
              <w:jc w:val="center"/>
              <w:rPr>
                <w:rFonts w:ascii="宋体" w:hAnsi="宋体" w:cs="宋体"/>
                <w:sz w:val="28"/>
                <w:szCs w:val="28"/>
              </w:rPr>
            </w:pPr>
            <w:r>
              <w:rPr>
                <w:rFonts w:hint="eastAsia" w:ascii="宋体" w:hAnsi="宋体" w:cs="宋体"/>
                <w:sz w:val="28"/>
                <w:szCs w:val="28"/>
              </w:rPr>
              <w:t>企业类型</w:t>
            </w:r>
          </w:p>
        </w:tc>
        <w:tc>
          <w:tcPr>
            <w:tcW w:w="1925" w:type="dxa"/>
            <w:noWrap w:val="0"/>
            <w:vAlign w:val="top"/>
          </w:tcPr>
          <w:p>
            <w:pPr>
              <w:spacing w:line="580" w:lineRule="exact"/>
              <w:jc w:val="center"/>
              <w:rPr>
                <w:rFonts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130" w:type="dxa"/>
            <w:noWrap w:val="0"/>
            <w:vAlign w:val="center"/>
          </w:tcPr>
          <w:p>
            <w:pPr>
              <w:spacing w:line="580" w:lineRule="exact"/>
              <w:jc w:val="center"/>
              <w:rPr>
                <w:rFonts w:ascii="宋体" w:hAnsi="宋体" w:cs="宋体"/>
                <w:sz w:val="28"/>
                <w:szCs w:val="28"/>
              </w:rPr>
            </w:pPr>
            <w:r>
              <w:rPr>
                <w:rFonts w:hint="eastAsia" w:ascii="宋体" w:hAnsi="宋体" w:cs="宋体"/>
                <w:sz w:val="28"/>
                <w:szCs w:val="28"/>
              </w:rPr>
              <w:t>联系人</w:t>
            </w:r>
          </w:p>
        </w:tc>
        <w:tc>
          <w:tcPr>
            <w:tcW w:w="2995" w:type="dxa"/>
            <w:noWrap w:val="0"/>
            <w:vAlign w:val="center"/>
          </w:tcPr>
          <w:p>
            <w:pPr>
              <w:spacing w:line="580" w:lineRule="exact"/>
              <w:jc w:val="center"/>
              <w:rPr>
                <w:rFonts w:ascii="仿宋_GB2312" w:hAnsi="仿宋_GB2312" w:eastAsia="仿宋_GB2312" w:cs="仿宋_GB2312"/>
                <w:sz w:val="28"/>
                <w:szCs w:val="28"/>
              </w:rPr>
            </w:pPr>
          </w:p>
        </w:tc>
        <w:tc>
          <w:tcPr>
            <w:tcW w:w="1470" w:type="dxa"/>
            <w:noWrap w:val="0"/>
            <w:vAlign w:val="center"/>
          </w:tcPr>
          <w:p>
            <w:pPr>
              <w:spacing w:line="580" w:lineRule="exact"/>
              <w:jc w:val="center"/>
              <w:rPr>
                <w:rFonts w:ascii="宋体" w:hAnsi="宋体" w:cs="宋体"/>
                <w:sz w:val="28"/>
                <w:szCs w:val="28"/>
              </w:rPr>
            </w:pPr>
            <w:r>
              <w:rPr>
                <w:rFonts w:hint="eastAsia" w:ascii="宋体" w:hAnsi="宋体" w:cs="宋体"/>
                <w:sz w:val="28"/>
                <w:szCs w:val="28"/>
              </w:rPr>
              <w:t>联系方式</w:t>
            </w:r>
          </w:p>
        </w:tc>
        <w:tc>
          <w:tcPr>
            <w:tcW w:w="1925" w:type="dxa"/>
            <w:noWrap w:val="0"/>
            <w:vAlign w:val="top"/>
          </w:tcPr>
          <w:p>
            <w:pPr>
              <w:spacing w:line="58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9" w:hRule="atLeast"/>
        </w:trPr>
        <w:tc>
          <w:tcPr>
            <w:tcW w:w="2130" w:type="dxa"/>
            <w:noWrap w:val="0"/>
            <w:vAlign w:val="center"/>
          </w:tcPr>
          <w:p>
            <w:pPr>
              <w:spacing w:line="580" w:lineRule="exact"/>
              <w:jc w:val="center"/>
              <w:rPr>
                <w:rFonts w:ascii="宋体" w:hAnsi="宋体" w:cs="宋体"/>
                <w:sz w:val="28"/>
                <w:szCs w:val="28"/>
              </w:rPr>
            </w:pPr>
            <w:r>
              <w:rPr>
                <w:rFonts w:hint="eastAsia" w:ascii="宋体" w:hAnsi="宋体" w:cs="宋体"/>
                <w:sz w:val="28"/>
                <w:szCs w:val="28"/>
              </w:rPr>
              <w:t>企业简介</w:t>
            </w:r>
          </w:p>
        </w:tc>
        <w:tc>
          <w:tcPr>
            <w:tcW w:w="6390" w:type="dxa"/>
            <w:gridSpan w:val="3"/>
            <w:noWrap w:val="0"/>
            <w:vAlign w:val="top"/>
          </w:tcPr>
          <w:p>
            <w:pPr>
              <w:spacing w:line="580" w:lineRule="exact"/>
              <w:rPr>
                <w:rFonts w:eastAsia="仿宋"/>
                <w:szCs w:val="21"/>
              </w:rPr>
            </w:pPr>
          </w:p>
          <w:p>
            <w:pPr>
              <w:spacing w:line="580" w:lineRule="exact"/>
              <w:rPr>
                <w:rFonts w:eastAsia="仿宋"/>
                <w:szCs w:val="21"/>
              </w:rPr>
            </w:pPr>
          </w:p>
          <w:p>
            <w:pPr>
              <w:spacing w:line="58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1" w:hRule="atLeast"/>
        </w:trPr>
        <w:tc>
          <w:tcPr>
            <w:tcW w:w="2130" w:type="dxa"/>
            <w:noWrap w:val="0"/>
            <w:vAlign w:val="center"/>
          </w:tcPr>
          <w:p>
            <w:pPr>
              <w:spacing w:line="580" w:lineRule="exact"/>
              <w:jc w:val="center"/>
              <w:rPr>
                <w:rFonts w:ascii="宋体" w:hAnsi="宋体" w:cs="宋体"/>
                <w:sz w:val="28"/>
                <w:szCs w:val="28"/>
              </w:rPr>
            </w:pPr>
            <w:r>
              <w:rPr>
                <w:rFonts w:hint="eastAsia" w:ascii="宋体" w:hAnsi="宋体" w:cs="宋体"/>
                <w:sz w:val="28"/>
                <w:szCs w:val="28"/>
              </w:rPr>
              <w:t>带贫扶贫情况</w:t>
            </w:r>
          </w:p>
        </w:tc>
        <w:tc>
          <w:tcPr>
            <w:tcW w:w="6390" w:type="dxa"/>
            <w:gridSpan w:val="3"/>
            <w:noWrap w:val="0"/>
            <w:vAlign w:val="top"/>
          </w:tcPr>
          <w:p>
            <w:pPr>
              <w:spacing w:line="580" w:lineRule="exact"/>
              <w:rPr>
                <w:rFonts w:ascii="仿宋_GB2312" w:hAnsi="仿宋_GB2312" w:eastAsia="仿宋_GB2312" w:cs="仿宋_GB2312"/>
                <w:color w:val="000000"/>
                <w:sz w:val="24"/>
              </w:rPr>
            </w:pPr>
          </w:p>
          <w:p>
            <w:pPr>
              <w:spacing w:line="580" w:lineRule="exact"/>
              <w:rPr>
                <w:rFonts w:ascii="仿宋_GB2312" w:hAnsi="仿宋_GB2312" w:eastAsia="仿宋_GB2312" w:cs="仿宋_GB2312"/>
                <w:color w:val="000000"/>
                <w:sz w:val="24"/>
              </w:rPr>
            </w:pPr>
          </w:p>
          <w:p>
            <w:pPr>
              <w:spacing w:line="580" w:lineRule="exact"/>
              <w:rPr>
                <w:rFonts w:ascii="宋体" w:hAnsi="宋体" w:cs="宋体"/>
                <w:sz w:val="28"/>
                <w:szCs w:val="28"/>
              </w:rPr>
            </w:pPr>
          </w:p>
        </w:tc>
      </w:tr>
    </w:tbl>
    <w:p>
      <w:pPr>
        <w:rPr>
          <w:rFonts w:ascii="仿宋_GB2312" w:hAnsi="仿宋_GB2312" w:eastAsia="仿宋_GB2312" w:cs="仿宋_GB2312"/>
          <w:sz w:val="32"/>
          <w:szCs w:val="32"/>
        </w:rPr>
      </w:pPr>
    </w:p>
    <w:p>
      <w:pPr>
        <w:spacing w:line="400" w:lineRule="exact"/>
        <w:rPr>
          <w:rFonts w:ascii="楷体_GB2312" w:eastAsia="楷体_GB2312"/>
          <w:sz w:val="28"/>
          <w:u w:val="single"/>
        </w:rPr>
      </w:pPr>
    </w:p>
    <w:p>
      <w:bookmarkStart w:id="0" w:name="_GoBack"/>
      <w:bookmarkEnd w:id="0"/>
    </w:p>
    <w:sectPr>
      <w:pgSz w:w="11906" w:h="16838"/>
      <w:pgMar w:top="1440"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85966"/>
    <w:rsid w:val="0AA85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iPriority="99"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Indent 3"/>
    <w:basedOn w:val="1"/>
    <w:semiHidden/>
    <w:unhideWhenUsed/>
    <w:uiPriority w:val="99"/>
    <w:pPr>
      <w:spacing w:after="120"/>
      <w:ind w:left="420" w:leftChars="200"/>
    </w:pPr>
    <w:rPr>
      <w:sz w:val="16"/>
      <w:szCs w:val="16"/>
    </w:rPr>
  </w:style>
  <w:style w:type="paragraph" w:customStyle="1" w:styleId="5">
    <w:name w:val="p0"/>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2019-07-09T03:26:00Z</dcterms:created>
  <dc:creator>维尼奥拉</dc:creator>
  <cp:lastModifiedBy>维尼奥拉</cp:lastModifiedBy>
  <dcterms:modified xsi:type="dcterms:W3CDTF">2019-07-09T03:26:55Z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