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7" w:lineRule="exact"/>
        <w:jc w:val="center"/>
        <w:textAlignment w:val="auto"/>
        <w:rPr>
          <w:rFonts w:hint="eastAsia" w:ascii="宋体" w:hAnsi="宋体" w:cs="宋体"/>
          <w:b/>
          <w:bCs/>
          <w:sz w:val="36"/>
          <w:szCs w:val="36"/>
          <w:lang w:eastAsia="zh-CN"/>
        </w:rPr>
      </w:pPr>
    </w:p>
    <w:p>
      <w:pPr>
        <w:keepNext w:val="0"/>
        <w:keepLines w:val="0"/>
        <w:pageBreakBefore w:val="0"/>
        <w:kinsoku/>
        <w:wordWrap/>
        <w:overflowPunct/>
        <w:topLinePunct w:val="0"/>
        <w:autoSpaceDE/>
        <w:autoSpaceDN/>
        <w:bidi w:val="0"/>
        <w:adjustRightInd/>
        <w:snapToGrid/>
        <w:spacing w:line="577" w:lineRule="exact"/>
        <w:jc w:val="center"/>
        <w:textAlignment w:val="auto"/>
        <w:rPr>
          <w:rFonts w:hint="eastAsia" w:ascii="宋体" w:hAnsi="宋体" w:eastAsia="宋体" w:cs="宋体"/>
          <w:b/>
          <w:bCs/>
          <w:sz w:val="36"/>
          <w:szCs w:val="36"/>
        </w:rPr>
      </w:pPr>
      <w:r>
        <w:rPr>
          <w:rFonts w:hint="eastAsia" w:ascii="宋体" w:hAnsi="宋体" w:cs="宋体"/>
          <w:b/>
          <w:bCs/>
          <w:sz w:val="36"/>
          <w:szCs w:val="36"/>
          <w:lang w:eastAsia="zh-CN"/>
        </w:rPr>
        <w:t>白城市审计局</w:t>
      </w:r>
      <w:r>
        <w:rPr>
          <w:rFonts w:hint="eastAsia" w:ascii="宋体" w:hAnsi="宋体" w:cs="宋体"/>
          <w:b/>
          <w:bCs/>
          <w:sz w:val="36"/>
          <w:szCs w:val="36"/>
          <w:lang w:val="en-US" w:eastAsia="zh-CN"/>
        </w:rPr>
        <w:t>2021年度</w:t>
      </w:r>
      <w:r>
        <w:rPr>
          <w:rFonts w:hint="eastAsia" w:ascii="宋体" w:hAnsi="宋体" w:eastAsia="宋体" w:cs="宋体"/>
          <w:b/>
          <w:bCs/>
          <w:sz w:val="36"/>
          <w:szCs w:val="36"/>
        </w:rPr>
        <w:t>政府信息公开年度报告</w:t>
      </w:r>
    </w:p>
    <w:p>
      <w:pPr>
        <w:keepNext w:val="0"/>
        <w:keepLines w:val="0"/>
        <w:pageBreakBefore w:val="0"/>
        <w:kinsoku/>
        <w:wordWrap/>
        <w:overflowPunct/>
        <w:topLinePunct w:val="0"/>
        <w:autoSpaceDE/>
        <w:autoSpaceDN/>
        <w:bidi w:val="0"/>
        <w:adjustRightInd/>
        <w:snapToGrid/>
        <w:spacing w:line="577" w:lineRule="exact"/>
        <w:ind w:firstLine="480" w:firstLineChars="200"/>
        <w:jc w:val="both"/>
        <w:textAlignment w:val="auto"/>
        <w:rPr>
          <w:rFonts w:hint="eastAsia" w:ascii="宋体" w:hAnsi="宋体" w:eastAsia="宋体" w:cs="宋体"/>
          <w:i w:val="0"/>
          <w:iCs w:val="0"/>
          <w:caps w:val="0"/>
          <w:color w:val="000000"/>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577" w:lineRule="exact"/>
        <w:ind w:firstLine="720" w:firstLineChars="300"/>
        <w:textAlignment w:val="auto"/>
        <w:rPr>
          <w:rFonts w:hint="eastAsia" w:ascii="宋体" w:hAnsi="宋体" w:cs="宋体"/>
          <w:i w:val="0"/>
          <w:iCs w:val="0"/>
          <w:caps w:val="0"/>
          <w:color w:val="000000"/>
          <w:spacing w:val="0"/>
          <w:sz w:val="24"/>
          <w:szCs w:val="24"/>
          <w:shd w:val="clear" w:fill="FFFFFF"/>
          <w:lang w:val="en-US" w:eastAsia="zh-CN"/>
        </w:rPr>
      </w:pPr>
      <w:r>
        <w:rPr>
          <w:rFonts w:hint="eastAsia" w:ascii="宋体" w:hAnsi="宋体" w:cs="宋体"/>
          <w:i w:val="0"/>
          <w:iCs w:val="0"/>
          <w:caps w:val="0"/>
          <w:color w:val="000000"/>
          <w:spacing w:val="0"/>
          <w:sz w:val="24"/>
          <w:szCs w:val="24"/>
          <w:shd w:val="clear" w:fill="FFFFFF"/>
          <w:lang w:val="en-US" w:eastAsia="zh-CN"/>
        </w:rPr>
        <w:t>按照《中华人民共和国政府信息公开工作年度报告格式》要求，报告由六个部分组成，包括：总体情况、行政机关主动公开政府信息情况、行政机关收到和处理政府信息公开申请情况、因政府信息公开被申请行政复议和提起行政诉讼情况、政府信息公开工作中存在的主要问题及改进情况、其他需要报告的事项。所列数据截止日期为2021年12月31日,报告起草单位为白城市审计局（地址：白城市幸福北大街6号，邮编：137000，电话：0436-3352008）。</w:t>
      </w:r>
    </w:p>
    <w:p>
      <w:pPr>
        <w:keepNext w:val="0"/>
        <w:keepLines w:val="0"/>
        <w:pageBreakBefore w:val="0"/>
        <w:numPr>
          <w:ilvl w:val="0"/>
          <w:numId w:val="0"/>
        </w:numPr>
        <w:kinsoku/>
        <w:wordWrap/>
        <w:overflowPunct/>
        <w:topLinePunct w:val="0"/>
        <w:autoSpaceDE/>
        <w:autoSpaceDN/>
        <w:bidi w:val="0"/>
        <w:adjustRightInd/>
        <w:snapToGrid/>
        <w:spacing w:line="577" w:lineRule="exact"/>
        <w:ind w:firstLine="482" w:firstLineChars="200"/>
        <w:textAlignment w:val="auto"/>
        <w:rPr>
          <w:rFonts w:hint="eastAsia" w:ascii="楷体_GB2312" w:eastAsia="楷体_GB2312"/>
          <w:sz w:val="32"/>
          <w:szCs w:val="32"/>
        </w:rPr>
      </w:pPr>
      <w:r>
        <w:rPr>
          <w:rFonts w:hint="eastAsia" w:ascii="宋体" w:hAnsi="宋体" w:cs="宋体"/>
          <w:b/>
          <w:bCs/>
          <w:sz w:val="24"/>
          <w:szCs w:val="24"/>
          <w:lang w:eastAsia="zh-CN"/>
        </w:rPr>
        <w:t>一、</w:t>
      </w:r>
      <w:r>
        <w:rPr>
          <w:rFonts w:hint="eastAsia" w:ascii="宋体" w:hAnsi="宋体" w:eastAsia="宋体" w:cs="宋体"/>
          <w:b/>
          <w:bCs/>
          <w:sz w:val="24"/>
          <w:szCs w:val="24"/>
        </w:rPr>
        <w:t>总体情况</w:t>
      </w:r>
    </w:p>
    <w:p>
      <w:pPr>
        <w:keepNext w:val="0"/>
        <w:keepLines w:val="0"/>
        <w:pageBreakBefore w:val="0"/>
        <w:widowControl w:val="0"/>
        <w:kinsoku/>
        <w:wordWrap/>
        <w:overflowPunct/>
        <w:topLinePunct w:val="0"/>
        <w:autoSpaceDE/>
        <w:autoSpaceDN/>
        <w:bidi w:val="0"/>
        <w:adjustRightInd/>
        <w:snapToGrid/>
        <w:spacing w:line="577" w:lineRule="exact"/>
        <w:ind w:firstLine="480" w:firstLineChars="200"/>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cs="宋体"/>
          <w:i w:val="0"/>
          <w:iCs w:val="0"/>
          <w:caps w:val="0"/>
          <w:color w:val="000000"/>
          <w:spacing w:val="0"/>
          <w:sz w:val="24"/>
          <w:szCs w:val="24"/>
          <w:shd w:val="clear" w:fill="FFFFFF"/>
          <w:lang w:val="en-US" w:eastAsia="zh-CN"/>
        </w:rPr>
        <w:t>年初以来，我局</w:t>
      </w:r>
      <w:r>
        <w:rPr>
          <w:rFonts w:hint="eastAsia" w:ascii="宋体" w:hAnsi="宋体" w:eastAsia="宋体" w:cs="宋体"/>
          <w:i w:val="0"/>
          <w:iCs w:val="0"/>
          <w:caps w:val="0"/>
          <w:color w:val="000000"/>
          <w:spacing w:val="0"/>
          <w:sz w:val="24"/>
          <w:szCs w:val="24"/>
          <w:shd w:val="clear" w:fill="FFFFFF"/>
          <w:lang w:val="en-US" w:eastAsia="zh-CN"/>
        </w:rPr>
        <w:t>深入贯彻落实《中华人民共和国政府信息公开条例》</w:t>
      </w:r>
      <w:r>
        <w:rPr>
          <w:rFonts w:hint="eastAsia" w:ascii="宋体" w:hAnsi="宋体" w:cs="宋体"/>
          <w:i w:val="0"/>
          <w:iCs w:val="0"/>
          <w:caps w:val="0"/>
          <w:color w:val="000000"/>
          <w:spacing w:val="0"/>
          <w:sz w:val="24"/>
          <w:szCs w:val="24"/>
          <w:shd w:val="clear" w:fill="FFFFFF"/>
          <w:lang w:val="en-US" w:eastAsia="zh-CN"/>
        </w:rPr>
        <w:t>文件精神和市政务公开（政府信息公开）领导小组办公室相关通知要求，</w:t>
      </w:r>
      <w:r>
        <w:rPr>
          <w:rFonts w:hint="eastAsia" w:ascii="宋体" w:hAnsi="宋体" w:eastAsia="宋体" w:cs="宋体"/>
          <w:i w:val="0"/>
          <w:iCs w:val="0"/>
          <w:caps w:val="0"/>
          <w:color w:val="000000"/>
          <w:spacing w:val="0"/>
          <w:sz w:val="24"/>
          <w:szCs w:val="24"/>
          <w:shd w:val="clear" w:fill="FFFFFF"/>
        </w:rPr>
        <w:t>不断深化对推行政务公开重要性的认识</w:t>
      </w:r>
      <w:r>
        <w:rPr>
          <w:rFonts w:hint="eastAsia" w:ascii="宋体" w:hAnsi="宋体" w:cs="宋体"/>
          <w:i w:val="0"/>
          <w:iCs w:val="0"/>
          <w:caps w:val="0"/>
          <w:color w:val="000000"/>
          <w:spacing w:val="0"/>
          <w:sz w:val="24"/>
          <w:szCs w:val="24"/>
          <w:shd w:val="clear" w:fill="FFFFFF"/>
          <w:lang w:eastAsia="zh-CN"/>
        </w:rPr>
        <w:t>，按照“统筹规划、资源共享、面向公众、保障安全”的要求，充分发挥</w:t>
      </w:r>
      <w:r>
        <w:rPr>
          <w:rFonts w:hint="eastAsia" w:ascii="宋体" w:hAnsi="宋体" w:cs="宋体"/>
          <w:i w:val="0"/>
          <w:iCs w:val="0"/>
          <w:caps w:val="0"/>
          <w:color w:val="000000"/>
          <w:spacing w:val="0"/>
          <w:sz w:val="24"/>
          <w:szCs w:val="24"/>
          <w:shd w:val="clear" w:fill="FFFFFF"/>
          <w:lang w:val="en-US" w:eastAsia="zh-CN"/>
        </w:rPr>
        <w:t>好政府信息公开制度的功能和作用，切实落实好政府机关的主体责任，不断提升信息公开的能力和水平。</w:t>
      </w:r>
      <w:r>
        <w:rPr>
          <w:rFonts w:hint="eastAsia" w:ascii="宋体" w:hAnsi="宋体" w:eastAsia="宋体" w:cs="宋体"/>
          <w:i w:val="0"/>
          <w:iCs w:val="0"/>
          <w:caps w:val="0"/>
          <w:color w:val="000000"/>
          <w:spacing w:val="0"/>
          <w:sz w:val="24"/>
          <w:szCs w:val="24"/>
          <w:shd w:val="clear" w:fill="FFFFFF"/>
          <w:lang w:val="en-US" w:eastAsia="zh-CN"/>
        </w:rPr>
        <w:t>根据《中华人民共和国政府信息公开条例》规定，结合工作实际，</w:t>
      </w:r>
      <w:r>
        <w:rPr>
          <w:rFonts w:hint="eastAsia" w:ascii="宋体" w:hAnsi="宋体" w:cs="宋体"/>
          <w:i w:val="0"/>
          <w:iCs w:val="0"/>
          <w:caps w:val="0"/>
          <w:color w:val="000000"/>
          <w:spacing w:val="0"/>
          <w:sz w:val="24"/>
          <w:szCs w:val="24"/>
          <w:shd w:val="clear" w:fill="FFFFFF"/>
          <w:lang w:val="en-US" w:eastAsia="zh-CN"/>
        </w:rPr>
        <w:t>现</w:t>
      </w:r>
      <w:r>
        <w:rPr>
          <w:rFonts w:hint="eastAsia" w:ascii="宋体" w:hAnsi="宋体" w:eastAsia="宋体" w:cs="宋体"/>
          <w:i w:val="0"/>
          <w:iCs w:val="0"/>
          <w:caps w:val="0"/>
          <w:color w:val="000000"/>
          <w:spacing w:val="0"/>
          <w:sz w:val="24"/>
          <w:szCs w:val="24"/>
          <w:shd w:val="clear" w:fill="FFFFFF"/>
          <w:lang w:val="en-US" w:eastAsia="zh-CN"/>
        </w:rPr>
        <w:t>对202</w:t>
      </w:r>
      <w:r>
        <w:rPr>
          <w:rFonts w:hint="eastAsia" w:ascii="宋体" w:hAnsi="宋体" w:cs="宋体"/>
          <w:i w:val="0"/>
          <w:iCs w:val="0"/>
          <w:caps w:val="0"/>
          <w:color w:val="000000"/>
          <w:spacing w:val="0"/>
          <w:sz w:val="24"/>
          <w:szCs w:val="24"/>
          <w:shd w:val="clear" w:fill="FFFFFF"/>
          <w:lang w:val="en-US" w:eastAsia="zh-CN"/>
        </w:rPr>
        <w:t>1</w:t>
      </w:r>
      <w:r>
        <w:rPr>
          <w:rFonts w:hint="eastAsia" w:ascii="宋体" w:hAnsi="宋体" w:eastAsia="宋体" w:cs="宋体"/>
          <w:i w:val="0"/>
          <w:iCs w:val="0"/>
          <w:caps w:val="0"/>
          <w:color w:val="000000"/>
          <w:spacing w:val="0"/>
          <w:sz w:val="24"/>
          <w:szCs w:val="24"/>
          <w:shd w:val="clear" w:fill="FFFFFF"/>
          <w:lang w:val="en-US" w:eastAsia="zh-CN"/>
        </w:rPr>
        <w:t>年度政府信息公开工作情况进行了梳理、统计和总结如下：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7" w:lineRule="exact"/>
        <w:ind w:left="0" w:right="0" w:firstLine="480"/>
        <w:jc w:val="both"/>
        <w:textAlignment w:val="auto"/>
        <w:rPr>
          <w:rFonts w:hint="default" w:ascii="Calibri" w:hAnsi="Calibri" w:cs="Calibri"/>
          <w:i w:val="0"/>
          <w:iCs w:val="0"/>
          <w:caps w:val="0"/>
          <w:color w:val="000000"/>
          <w:spacing w:val="0"/>
          <w:sz w:val="24"/>
          <w:szCs w:val="24"/>
        </w:rPr>
      </w:pPr>
      <w:r>
        <w:rPr>
          <w:rFonts w:hint="eastAsia" w:ascii="楷体" w:hAnsi="楷体" w:eastAsia="楷体" w:cs="楷体"/>
          <w:i w:val="0"/>
          <w:iCs w:val="0"/>
          <w:caps w:val="0"/>
          <w:color w:val="000000"/>
          <w:spacing w:val="0"/>
          <w:kern w:val="0"/>
          <w:sz w:val="24"/>
          <w:szCs w:val="24"/>
          <w:shd w:val="clear" w:fill="FFFFFF"/>
          <w:lang w:val="en-US" w:eastAsia="zh-CN" w:bidi="ar"/>
        </w:rPr>
        <w:t>（一）主动全面公开政府信息。</w:t>
      </w:r>
      <w:r>
        <w:rPr>
          <w:rFonts w:hint="eastAsia" w:ascii="宋体" w:hAnsi="宋体" w:eastAsia="宋体" w:cs="宋体"/>
          <w:i w:val="0"/>
          <w:iCs w:val="0"/>
          <w:caps w:val="0"/>
          <w:color w:val="000000"/>
          <w:spacing w:val="0"/>
          <w:kern w:val="0"/>
          <w:sz w:val="24"/>
          <w:szCs w:val="24"/>
          <w:shd w:val="clear" w:fill="FFFFFF"/>
          <w:lang w:val="en-US" w:eastAsia="zh-CN" w:bidi="ar"/>
        </w:rPr>
        <w:t>202</w:t>
      </w:r>
      <w:r>
        <w:rPr>
          <w:rFonts w:hint="eastAsia" w:ascii="宋体" w:hAnsi="宋体" w:cs="宋体"/>
          <w:i w:val="0"/>
          <w:iCs w:val="0"/>
          <w:caps w:val="0"/>
          <w:color w:val="000000"/>
          <w:spacing w:val="0"/>
          <w:kern w:val="0"/>
          <w:sz w:val="24"/>
          <w:szCs w:val="24"/>
          <w:shd w:val="clear" w:fill="FFFFFF"/>
          <w:lang w:val="en-US" w:eastAsia="zh-CN" w:bidi="ar"/>
        </w:rPr>
        <w:t>1</w:t>
      </w:r>
      <w:r>
        <w:rPr>
          <w:rFonts w:hint="eastAsia" w:ascii="宋体" w:hAnsi="宋体" w:eastAsia="宋体" w:cs="宋体"/>
          <w:i w:val="0"/>
          <w:iCs w:val="0"/>
          <w:caps w:val="0"/>
          <w:color w:val="000000"/>
          <w:spacing w:val="0"/>
          <w:kern w:val="0"/>
          <w:sz w:val="24"/>
          <w:szCs w:val="24"/>
          <w:shd w:val="clear" w:fill="FFFFFF"/>
          <w:lang w:val="en-US" w:eastAsia="zh-CN" w:bidi="ar"/>
        </w:rPr>
        <w:t>年，我局认真贯彻</w:t>
      </w:r>
      <w:r>
        <w:rPr>
          <w:rFonts w:hint="eastAsia" w:ascii="宋体" w:hAnsi="宋体" w:cs="宋体"/>
          <w:i w:val="0"/>
          <w:iCs w:val="0"/>
          <w:caps w:val="0"/>
          <w:color w:val="000000"/>
          <w:spacing w:val="0"/>
          <w:kern w:val="0"/>
          <w:sz w:val="24"/>
          <w:szCs w:val="24"/>
          <w:shd w:val="clear" w:fill="FFFFFF"/>
          <w:lang w:val="en-US" w:eastAsia="zh-CN" w:bidi="ar"/>
        </w:rPr>
        <w:t>落实</w:t>
      </w:r>
      <w:r>
        <w:rPr>
          <w:rFonts w:hint="eastAsia" w:ascii="宋体" w:hAnsi="宋体" w:eastAsia="宋体" w:cs="宋体"/>
          <w:i w:val="0"/>
          <w:iCs w:val="0"/>
          <w:caps w:val="0"/>
          <w:color w:val="000000"/>
          <w:spacing w:val="0"/>
          <w:kern w:val="0"/>
          <w:sz w:val="24"/>
          <w:szCs w:val="24"/>
          <w:shd w:val="clear" w:fill="FFFFFF"/>
          <w:lang w:val="en-US" w:eastAsia="zh-CN" w:bidi="ar"/>
        </w:rPr>
        <w:t>《</w:t>
      </w:r>
      <w:r>
        <w:rPr>
          <w:rFonts w:hint="eastAsia" w:ascii="宋体" w:hAnsi="宋体" w:eastAsia="宋体" w:cs="宋体"/>
          <w:i w:val="0"/>
          <w:iCs w:val="0"/>
          <w:caps w:val="0"/>
          <w:color w:val="000000"/>
          <w:spacing w:val="0"/>
          <w:sz w:val="24"/>
          <w:szCs w:val="24"/>
          <w:shd w:val="clear" w:fill="FFFFFF"/>
          <w:lang w:val="en-US" w:eastAsia="zh-CN"/>
        </w:rPr>
        <w:t>中华人民共和国政府</w:t>
      </w:r>
      <w:r>
        <w:rPr>
          <w:rFonts w:hint="eastAsia" w:ascii="宋体" w:hAnsi="宋体" w:eastAsia="宋体" w:cs="宋体"/>
          <w:i w:val="0"/>
          <w:iCs w:val="0"/>
          <w:caps w:val="0"/>
          <w:color w:val="000000"/>
          <w:spacing w:val="0"/>
          <w:kern w:val="0"/>
          <w:sz w:val="24"/>
          <w:szCs w:val="24"/>
          <w:shd w:val="clear" w:fill="FFFFFF"/>
          <w:lang w:val="en-US" w:eastAsia="zh-CN" w:bidi="ar"/>
        </w:rPr>
        <w:t>信息公开条例》</w:t>
      </w:r>
      <w:r>
        <w:rPr>
          <w:rFonts w:hint="eastAsia" w:ascii="宋体" w:hAnsi="宋体" w:cs="宋体"/>
          <w:i w:val="0"/>
          <w:iCs w:val="0"/>
          <w:caps w:val="0"/>
          <w:color w:val="000000"/>
          <w:spacing w:val="0"/>
          <w:kern w:val="0"/>
          <w:sz w:val="24"/>
          <w:szCs w:val="24"/>
          <w:shd w:val="clear" w:fill="FFFFFF"/>
          <w:lang w:val="en-US" w:eastAsia="zh-CN" w:bidi="ar"/>
        </w:rPr>
        <w:t>文件精神</w:t>
      </w:r>
      <w:r>
        <w:rPr>
          <w:rFonts w:hint="eastAsia" w:ascii="宋体" w:hAnsi="宋体" w:eastAsia="宋体" w:cs="宋体"/>
          <w:i w:val="0"/>
          <w:iCs w:val="0"/>
          <w:caps w:val="0"/>
          <w:color w:val="000000"/>
          <w:spacing w:val="0"/>
          <w:kern w:val="0"/>
          <w:sz w:val="24"/>
          <w:szCs w:val="24"/>
          <w:shd w:val="clear" w:fill="FFFFFF"/>
          <w:lang w:val="en-US" w:eastAsia="zh-CN" w:bidi="ar"/>
        </w:rPr>
        <w:t>,按照“以公开为原则，不公开为例外”的要求，着力提升政府信息公开工作质量，增强审计信息公开时效性</w:t>
      </w:r>
      <w:r>
        <w:rPr>
          <w:rFonts w:hint="eastAsia" w:ascii="宋体" w:hAnsi="宋体" w:cs="宋体"/>
          <w:i w:val="0"/>
          <w:iCs w:val="0"/>
          <w:caps w:val="0"/>
          <w:color w:val="000000"/>
          <w:spacing w:val="0"/>
          <w:kern w:val="0"/>
          <w:sz w:val="24"/>
          <w:szCs w:val="24"/>
          <w:shd w:val="clear" w:fill="FFFFFF"/>
          <w:lang w:val="en-US" w:eastAsia="zh-CN" w:bidi="ar"/>
        </w:rPr>
        <w:t>，推动</w:t>
      </w:r>
      <w:r>
        <w:rPr>
          <w:rFonts w:hint="eastAsia" w:ascii="宋体" w:hAnsi="宋体" w:eastAsia="宋体" w:cs="宋体"/>
          <w:i w:val="0"/>
          <w:iCs w:val="0"/>
          <w:caps w:val="0"/>
          <w:color w:val="000000"/>
          <w:spacing w:val="0"/>
          <w:kern w:val="0"/>
          <w:sz w:val="24"/>
          <w:szCs w:val="24"/>
          <w:shd w:val="clear" w:fill="FFFFFF"/>
          <w:lang w:val="en-US" w:eastAsia="zh-CN" w:bidi="ar"/>
        </w:rPr>
        <w:t>审计工作公信力和透明度进一步提升。</w:t>
      </w:r>
      <w:r>
        <w:rPr>
          <w:rFonts w:hint="eastAsia" w:ascii="宋体" w:hAnsi="宋体" w:eastAsia="宋体" w:cs="宋体"/>
          <w:i w:val="0"/>
          <w:iCs w:val="0"/>
          <w:caps w:val="0"/>
          <w:color w:val="000000"/>
          <w:spacing w:val="0"/>
          <w:sz w:val="24"/>
          <w:szCs w:val="24"/>
          <w:shd w:val="clear" w:fill="FFFFFF"/>
          <w:lang w:val="en-US" w:eastAsia="zh-CN"/>
        </w:rPr>
        <w:t>对涉及公众利益调整、需要公众广泛知晓或者需要公众参与决策的政府信息，</w:t>
      </w:r>
      <w:r>
        <w:rPr>
          <w:rFonts w:hint="eastAsia" w:ascii="宋体" w:hAnsi="宋体" w:cs="宋体"/>
          <w:i w:val="0"/>
          <w:iCs w:val="0"/>
          <w:caps w:val="0"/>
          <w:color w:val="000000"/>
          <w:spacing w:val="0"/>
          <w:sz w:val="24"/>
          <w:szCs w:val="24"/>
          <w:shd w:val="clear" w:fill="FFFFFF"/>
          <w:lang w:val="en-US" w:eastAsia="zh-CN"/>
        </w:rPr>
        <w:t>进行了</w:t>
      </w:r>
      <w:r>
        <w:rPr>
          <w:rFonts w:hint="eastAsia" w:ascii="宋体" w:hAnsi="宋体" w:eastAsia="宋体" w:cs="宋体"/>
          <w:i w:val="0"/>
          <w:iCs w:val="0"/>
          <w:caps w:val="0"/>
          <w:color w:val="000000"/>
          <w:spacing w:val="0"/>
          <w:sz w:val="24"/>
          <w:szCs w:val="24"/>
          <w:shd w:val="clear" w:fill="FFFFFF"/>
          <w:lang w:val="en-US" w:eastAsia="zh-CN"/>
        </w:rPr>
        <w:t>主动公开</w:t>
      </w:r>
      <w:r>
        <w:rPr>
          <w:rFonts w:hint="eastAsia" w:ascii="宋体" w:hAnsi="宋体" w:cs="宋体"/>
          <w:i w:val="0"/>
          <w:iCs w:val="0"/>
          <w:caps w:val="0"/>
          <w:color w:val="000000"/>
          <w:spacing w:val="0"/>
          <w:sz w:val="24"/>
          <w:szCs w:val="24"/>
          <w:shd w:val="clear" w:fill="FFFFFF"/>
          <w:lang w:val="en-US" w:eastAsia="zh-CN"/>
        </w:rPr>
        <w:t>，</w:t>
      </w:r>
      <w:r>
        <w:rPr>
          <w:rFonts w:hint="eastAsia" w:ascii="宋体" w:hAnsi="宋体" w:eastAsia="宋体" w:cs="宋体"/>
          <w:i w:val="0"/>
          <w:iCs w:val="0"/>
          <w:caps w:val="0"/>
          <w:color w:val="000000"/>
          <w:spacing w:val="0"/>
          <w:kern w:val="0"/>
          <w:sz w:val="24"/>
          <w:szCs w:val="24"/>
          <w:shd w:val="clear" w:fill="FFFFFF"/>
          <w:lang w:val="en-US" w:eastAsia="zh-CN" w:bidi="ar"/>
        </w:rPr>
        <w:t>全年共</w:t>
      </w:r>
      <w:r>
        <w:rPr>
          <w:rFonts w:hint="eastAsia" w:ascii="宋体" w:hAnsi="宋体" w:cs="宋体"/>
          <w:i w:val="0"/>
          <w:iCs w:val="0"/>
          <w:caps w:val="0"/>
          <w:color w:val="000000"/>
          <w:spacing w:val="0"/>
          <w:kern w:val="0"/>
          <w:sz w:val="24"/>
          <w:szCs w:val="24"/>
          <w:shd w:val="clear" w:fill="FFFFFF"/>
          <w:lang w:val="en-US" w:eastAsia="zh-CN" w:bidi="ar"/>
        </w:rPr>
        <w:t>公开</w:t>
      </w:r>
      <w:r>
        <w:rPr>
          <w:rFonts w:hint="eastAsia" w:ascii="宋体" w:hAnsi="宋体" w:eastAsia="宋体" w:cs="宋体"/>
          <w:i w:val="0"/>
          <w:iCs w:val="0"/>
          <w:caps w:val="0"/>
          <w:color w:val="000000"/>
          <w:spacing w:val="0"/>
          <w:kern w:val="0"/>
          <w:sz w:val="24"/>
          <w:szCs w:val="24"/>
          <w:shd w:val="clear" w:fill="FFFFFF"/>
          <w:lang w:val="en-US" w:eastAsia="zh-CN" w:bidi="ar"/>
        </w:rPr>
        <w:t>发布各类文件、公告类信息</w:t>
      </w:r>
      <w:r>
        <w:rPr>
          <w:rFonts w:hint="eastAsia" w:ascii="宋体" w:hAnsi="宋体" w:cs="宋体"/>
          <w:i w:val="0"/>
          <w:iCs w:val="0"/>
          <w:caps w:val="0"/>
          <w:color w:val="000000"/>
          <w:spacing w:val="0"/>
          <w:kern w:val="0"/>
          <w:sz w:val="24"/>
          <w:szCs w:val="24"/>
          <w:shd w:val="clear" w:fill="FFFFFF"/>
          <w:lang w:val="en-US" w:eastAsia="zh-CN" w:bidi="ar"/>
        </w:rPr>
        <w:t>6</w:t>
      </w:r>
      <w:r>
        <w:rPr>
          <w:rFonts w:hint="eastAsia" w:ascii="宋体" w:hAnsi="宋体" w:eastAsia="宋体" w:cs="宋体"/>
          <w:i w:val="0"/>
          <w:iCs w:val="0"/>
          <w:caps w:val="0"/>
          <w:color w:val="000000"/>
          <w:spacing w:val="0"/>
          <w:kern w:val="0"/>
          <w:sz w:val="24"/>
          <w:szCs w:val="24"/>
          <w:shd w:val="clear" w:fill="FFFFFF"/>
          <w:lang w:val="en-US" w:eastAsia="zh-CN" w:bidi="ar"/>
        </w:rPr>
        <w:t>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7" w:lineRule="exact"/>
        <w:ind w:left="0" w:right="0" w:firstLine="480"/>
        <w:jc w:val="both"/>
        <w:textAlignment w:val="auto"/>
        <w:rPr>
          <w:rFonts w:hint="default" w:ascii="Calibri" w:hAnsi="Calibri" w:cs="Calibri"/>
          <w:i w:val="0"/>
          <w:iCs w:val="0"/>
          <w:caps w:val="0"/>
          <w:color w:val="000000"/>
          <w:spacing w:val="0"/>
          <w:sz w:val="24"/>
          <w:szCs w:val="24"/>
        </w:rPr>
      </w:pPr>
      <w:r>
        <w:rPr>
          <w:rFonts w:hint="eastAsia" w:ascii="楷体" w:hAnsi="楷体" w:eastAsia="楷体" w:cs="楷体"/>
          <w:i w:val="0"/>
          <w:iCs w:val="0"/>
          <w:caps w:val="0"/>
          <w:color w:val="000000"/>
          <w:spacing w:val="0"/>
          <w:kern w:val="0"/>
          <w:sz w:val="24"/>
          <w:szCs w:val="24"/>
          <w:shd w:val="clear" w:fill="FFFFFF"/>
          <w:lang w:val="en-US" w:eastAsia="zh-CN" w:bidi="ar"/>
        </w:rPr>
        <w:t>（二）规范处理依申请公开。</w:t>
      </w:r>
      <w:r>
        <w:rPr>
          <w:rFonts w:hint="eastAsia" w:ascii="宋体" w:hAnsi="宋体" w:eastAsia="宋体" w:cs="宋体"/>
          <w:i w:val="0"/>
          <w:iCs w:val="0"/>
          <w:caps w:val="0"/>
          <w:color w:val="000000"/>
          <w:spacing w:val="0"/>
          <w:kern w:val="0"/>
          <w:sz w:val="24"/>
          <w:szCs w:val="24"/>
          <w:shd w:val="clear" w:fill="FFFFFF"/>
          <w:lang w:val="en-US" w:eastAsia="zh-CN" w:bidi="ar"/>
        </w:rPr>
        <w:t>为保证公民、法人或者其他社会组织获取所需要的政府信息，做好政府信息依申请公开工作，</w:t>
      </w:r>
      <w:r>
        <w:rPr>
          <w:rFonts w:hint="eastAsia" w:ascii="宋体" w:hAnsi="宋体" w:cs="宋体"/>
          <w:i w:val="0"/>
          <w:iCs w:val="0"/>
          <w:caps w:val="0"/>
          <w:color w:val="000000"/>
          <w:spacing w:val="0"/>
          <w:kern w:val="0"/>
          <w:sz w:val="24"/>
          <w:szCs w:val="24"/>
          <w:shd w:val="clear" w:fill="FFFFFF"/>
          <w:lang w:val="en-US" w:eastAsia="zh-CN" w:bidi="ar"/>
        </w:rPr>
        <w:t>积极</w:t>
      </w:r>
      <w:r>
        <w:rPr>
          <w:rFonts w:hint="eastAsia" w:ascii="宋体" w:hAnsi="宋体" w:eastAsia="宋体" w:cs="宋体"/>
          <w:i w:val="0"/>
          <w:iCs w:val="0"/>
          <w:caps w:val="0"/>
          <w:color w:val="000000"/>
          <w:spacing w:val="0"/>
          <w:kern w:val="0"/>
          <w:sz w:val="24"/>
          <w:szCs w:val="24"/>
          <w:shd w:val="clear" w:fill="FFFFFF"/>
          <w:lang w:val="en-US" w:eastAsia="zh-CN" w:bidi="ar"/>
        </w:rPr>
        <w:t>规范办理流程，按照国家、省市要求进行接收、登记、办理、审核、答复、归档</w:t>
      </w:r>
      <w:r>
        <w:rPr>
          <w:rFonts w:hint="eastAsia" w:ascii="宋体" w:hAnsi="宋体" w:cs="宋体"/>
          <w:i w:val="0"/>
          <w:iCs w:val="0"/>
          <w:caps w:val="0"/>
          <w:color w:val="000000"/>
          <w:spacing w:val="0"/>
          <w:kern w:val="0"/>
          <w:sz w:val="24"/>
          <w:szCs w:val="24"/>
          <w:shd w:val="clear" w:fill="FFFFFF"/>
          <w:lang w:val="en-US" w:eastAsia="zh-CN" w:bidi="ar"/>
        </w:rPr>
        <w:t>。</w:t>
      </w:r>
      <w:r>
        <w:rPr>
          <w:rFonts w:hint="eastAsia" w:ascii="宋体" w:hAnsi="宋体" w:eastAsia="宋体" w:cs="宋体"/>
          <w:i w:val="0"/>
          <w:iCs w:val="0"/>
          <w:caps w:val="0"/>
          <w:color w:val="000000"/>
          <w:spacing w:val="0"/>
          <w:kern w:val="0"/>
          <w:sz w:val="24"/>
          <w:szCs w:val="24"/>
          <w:shd w:val="clear" w:fill="FFFFFF"/>
          <w:lang w:val="en-US" w:eastAsia="zh-CN" w:bidi="ar"/>
        </w:rPr>
        <w:t>全年</w:t>
      </w:r>
      <w:r>
        <w:rPr>
          <w:rFonts w:hint="eastAsia" w:ascii="宋体" w:hAnsi="宋体" w:cs="宋体"/>
          <w:i w:val="0"/>
          <w:iCs w:val="0"/>
          <w:caps w:val="0"/>
          <w:color w:val="000000"/>
          <w:spacing w:val="0"/>
          <w:kern w:val="0"/>
          <w:sz w:val="24"/>
          <w:szCs w:val="24"/>
          <w:shd w:val="clear" w:fill="FFFFFF"/>
          <w:lang w:val="en-US" w:eastAsia="zh-CN" w:bidi="ar"/>
        </w:rPr>
        <w:t>共</w:t>
      </w:r>
      <w:r>
        <w:rPr>
          <w:rFonts w:hint="eastAsia" w:ascii="宋体" w:hAnsi="宋体" w:eastAsia="宋体" w:cs="宋体"/>
          <w:i w:val="0"/>
          <w:iCs w:val="0"/>
          <w:caps w:val="0"/>
          <w:color w:val="000000"/>
          <w:spacing w:val="0"/>
          <w:kern w:val="0"/>
          <w:sz w:val="24"/>
          <w:szCs w:val="24"/>
          <w:shd w:val="clear" w:fill="FFFFFF"/>
          <w:lang w:val="en-US" w:eastAsia="zh-CN" w:bidi="ar"/>
        </w:rPr>
        <w:t>受理政府信息依申请公开数量</w:t>
      </w:r>
      <w:r>
        <w:rPr>
          <w:rFonts w:hint="eastAsia" w:ascii="宋体" w:hAnsi="宋体" w:cs="宋体"/>
          <w:i w:val="0"/>
          <w:iCs w:val="0"/>
          <w:caps w:val="0"/>
          <w:color w:val="000000"/>
          <w:spacing w:val="0"/>
          <w:kern w:val="0"/>
          <w:sz w:val="24"/>
          <w:szCs w:val="24"/>
          <w:shd w:val="clear" w:fill="FFFFFF"/>
          <w:lang w:val="en-US" w:eastAsia="zh-CN" w:bidi="ar"/>
        </w:rPr>
        <w:t>0</w:t>
      </w:r>
      <w:r>
        <w:rPr>
          <w:rFonts w:hint="eastAsia" w:ascii="宋体" w:hAnsi="宋体" w:eastAsia="宋体" w:cs="宋体"/>
          <w:i w:val="0"/>
          <w:iCs w:val="0"/>
          <w:caps w:val="0"/>
          <w:color w:val="000000"/>
          <w:spacing w:val="0"/>
          <w:kern w:val="0"/>
          <w:sz w:val="24"/>
          <w:szCs w:val="24"/>
          <w:shd w:val="clear" w:fill="FFFFFF"/>
          <w:lang w:val="en-US" w:eastAsia="zh-CN" w:bidi="ar"/>
        </w:rPr>
        <w:t>件</w:t>
      </w:r>
      <w:r>
        <w:rPr>
          <w:rFonts w:hint="eastAsia" w:ascii="宋体" w:hAnsi="宋体" w:cs="宋体"/>
          <w:i w:val="0"/>
          <w:iCs w:val="0"/>
          <w:caps w:val="0"/>
          <w:color w:val="000000"/>
          <w:spacing w:val="0"/>
          <w:kern w:val="0"/>
          <w:sz w:val="24"/>
          <w:szCs w:val="24"/>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7" w:lineRule="exact"/>
        <w:ind w:left="0" w:right="0" w:firstLine="480"/>
        <w:jc w:val="both"/>
        <w:textAlignment w:val="auto"/>
        <w:rPr>
          <w:rFonts w:hint="eastAsia" w:ascii="宋体" w:hAnsi="宋体" w:eastAsia="宋体" w:cs="宋体"/>
          <w:i w:val="0"/>
          <w:iCs w:val="0"/>
          <w:caps w:val="0"/>
          <w:color w:val="000000"/>
          <w:spacing w:val="0"/>
          <w:kern w:val="0"/>
          <w:sz w:val="24"/>
          <w:szCs w:val="24"/>
          <w:shd w:val="clear" w:fill="FFFFFF"/>
          <w:lang w:val="en-US" w:eastAsia="zh-CN" w:bidi="ar"/>
        </w:rPr>
      </w:pPr>
      <w:r>
        <w:rPr>
          <w:rFonts w:hint="eastAsia" w:ascii="楷体" w:hAnsi="楷体" w:eastAsia="楷体" w:cs="楷体"/>
          <w:i w:val="0"/>
          <w:iCs w:val="0"/>
          <w:caps w:val="0"/>
          <w:color w:val="000000"/>
          <w:spacing w:val="0"/>
          <w:kern w:val="0"/>
          <w:sz w:val="24"/>
          <w:szCs w:val="24"/>
          <w:shd w:val="clear" w:fill="FFFFFF"/>
          <w:lang w:val="en-US" w:eastAsia="zh-CN" w:bidi="ar"/>
        </w:rPr>
        <w:t>（三）不断加强政府信息管理。</w:t>
      </w:r>
      <w:r>
        <w:rPr>
          <w:rFonts w:hint="eastAsia" w:ascii="宋体" w:hAnsi="宋体" w:eastAsia="宋体" w:cs="宋体"/>
          <w:i w:val="0"/>
          <w:iCs w:val="0"/>
          <w:caps w:val="0"/>
          <w:color w:val="000000"/>
          <w:spacing w:val="0"/>
          <w:kern w:val="0"/>
          <w:sz w:val="24"/>
          <w:szCs w:val="24"/>
          <w:shd w:val="clear" w:fill="FFFFFF"/>
          <w:lang w:val="en-US" w:eastAsia="zh-CN" w:bidi="ar"/>
        </w:rPr>
        <w:t>不断加强政府信息资源的规范化、标准化、信息化管理，健全了适用于审计机关实际的政府信息公开工作制度</w:t>
      </w:r>
      <w:r>
        <w:rPr>
          <w:rFonts w:hint="eastAsia" w:ascii="宋体" w:hAnsi="宋体" w:cs="宋体"/>
          <w:i w:val="0"/>
          <w:iCs w:val="0"/>
          <w:caps w:val="0"/>
          <w:color w:val="000000"/>
          <w:spacing w:val="0"/>
          <w:kern w:val="0"/>
          <w:sz w:val="24"/>
          <w:szCs w:val="24"/>
          <w:shd w:val="clear" w:fill="FFFFFF"/>
          <w:lang w:val="en-US" w:eastAsia="zh-CN" w:bidi="ar"/>
        </w:rPr>
        <w:t>、</w:t>
      </w:r>
      <w:r>
        <w:rPr>
          <w:rFonts w:hint="eastAsia" w:ascii="宋体" w:hAnsi="宋体" w:eastAsia="宋体" w:cs="宋体"/>
          <w:i w:val="0"/>
          <w:iCs w:val="0"/>
          <w:caps w:val="0"/>
          <w:color w:val="000000"/>
          <w:spacing w:val="0"/>
          <w:kern w:val="0"/>
          <w:sz w:val="24"/>
          <w:szCs w:val="24"/>
          <w:shd w:val="clear" w:fill="FFFFFF"/>
          <w:lang w:val="en-US" w:eastAsia="zh-CN" w:bidi="ar"/>
        </w:rPr>
        <w:t>审批制度和政府信息管理机制，对因情势变化可以公开的政府信息</w:t>
      </w:r>
      <w:r>
        <w:rPr>
          <w:rFonts w:hint="eastAsia" w:ascii="宋体" w:hAnsi="宋体" w:cs="宋体"/>
          <w:i w:val="0"/>
          <w:iCs w:val="0"/>
          <w:caps w:val="0"/>
          <w:color w:val="000000"/>
          <w:spacing w:val="0"/>
          <w:kern w:val="0"/>
          <w:sz w:val="24"/>
          <w:szCs w:val="24"/>
          <w:shd w:val="clear" w:fill="FFFFFF"/>
          <w:lang w:val="en-US" w:eastAsia="zh-CN" w:bidi="ar"/>
        </w:rPr>
        <w:t>进行</w:t>
      </w:r>
      <w:r>
        <w:rPr>
          <w:rFonts w:hint="eastAsia" w:ascii="宋体" w:hAnsi="宋体" w:eastAsia="宋体" w:cs="宋体"/>
          <w:i w:val="0"/>
          <w:iCs w:val="0"/>
          <w:caps w:val="0"/>
          <w:color w:val="000000"/>
          <w:spacing w:val="0"/>
          <w:kern w:val="0"/>
          <w:sz w:val="24"/>
          <w:szCs w:val="24"/>
          <w:shd w:val="clear" w:fill="FFFFFF"/>
          <w:lang w:val="en-US" w:eastAsia="zh-CN" w:bidi="ar"/>
        </w:rPr>
        <w:t>公开</w:t>
      </w:r>
      <w:r>
        <w:rPr>
          <w:rFonts w:hint="eastAsia" w:ascii="宋体" w:hAnsi="宋体" w:cs="宋体"/>
          <w:i w:val="0"/>
          <w:iCs w:val="0"/>
          <w:caps w:val="0"/>
          <w:color w:val="000000"/>
          <w:spacing w:val="0"/>
          <w:kern w:val="0"/>
          <w:sz w:val="24"/>
          <w:szCs w:val="24"/>
          <w:shd w:val="clear" w:fill="FFFFFF"/>
          <w:lang w:val="en-US" w:eastAsia="zh-CN" w:bidi="ar"/>
        </w:rPr>
        <w:t>，</w:t>
      </w:r>
      <w:r>
        <w:rPr>
          <w:rFonts w:hint="eastAsia" w:ascii="宋体" w:hAnsi="宋体" w:eastAsia="宋体" w:cs="宋体"/>
          <w:i w:val="0"/>
          <w:iCs w:val="0"/>
          <w:caps w:val="0"/>
          <w:color w:val="000000"/>
          <w:spacing w:val="0"/>
          <w:kern w:val="0"/>
          <w:sz w:val="24"/>
          <w:szCs w:val="24"/>
          <w:shd w:val="clear" w:fill="FFFFFF"/>
          <w:lang w:val="en-US" w:eastAsia="zh-CN" w:bidi="ar"/>
        </w:rPr>
        <w:t>并指定专人负责本机关政府信息公开的日常工作。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7" w:lineRule="exact"/>
        <w:ind w:left="0" w:right="0" w:firstLine="480"/>
        <w:jc w:val="both"/>
        <w:textAlignment w:val="auto"/>
        <w:rPr>
          <w:rFonts w:hint="eastAsia" w:ascii="楷体" w:hAnsi="楷体" w:eastAsia="楷体" w:cs="楷体"/>
          <w:i w:val="0"/>
          <w:iCs w:val="0"/>
          <w:caps w:val="0"/>
          <w:color w:val="000000"/>
          <w:spacing w:val="0"/>
          <w:kern w:val="0"/>
          <w:sz w:val="24"/>
          <w:szCs w:val="24"/>
          <w:shd w:val="clear" w:fill="FFFFFF"/>
          <w:lang w:val="en-US" w:eastAsia="zh-CN" w:bidi="ar"/>
        </w:rPr>
      </w:pPr>
      <w:r>
        <w:rPr>
          <w:rFonts w:hint="eastAsia" w:ascii="楷体" w:hAnsi="楷体" w:eastAsia="楷体" w:cs="楷体"/>
          <w:i w:val="0"/>
          <w:iCs w:val="0"/>
          <w:caps w:val="0"/>
          <w:color w:val="000000"/>
          <w:spacing w:val="0"/>
          <w:kern w:val="0"/>
          <w:sz w:val="24"/>
          <w:szCs w:val="24"/>
          <w:shd w:val="clear" w:fill="FFFFFF"/>
          <w:lang w:val="en-US" w:eastAsia="zh-CN" w:bidi="ar"/>
        </w:rPr>
        <w:t>（四）充分利用政府信息公开平台建设。</w:t>
      </w:r>
      <w:r>
        <w:rPr>
          <w:rFonts w:hint="eastAsia" w:ascii="宋体" w:hAnsi="宋体" w:eastAsia="宋体" w:cs="宋体"/>
          <w:i w:val="0"/>
          <w:iCs w:val="0"/>
          <w:caps w:val="0"/>
          <w:color w:val="000000"/>
          <w:spacing w:val="0"/>
          <w:kern w:val="0"/>
          <w:sz w:val="24"/>
          <w:szCs w:val="24"/>
          <w:shd w:val="clear" w:fill="FFFFFF"/>
          <w:lang w:val="en-US" w:eastAsia="zh-CN" w:bidi="ar"/>
        </w:rPr>
        <w:t>对涉及公众利益调整、需要公众广泛知晓或者需要公众参与决策的政府信息</w:t>
      </w:r>
      <w:r>
        <w:rPr>
          <w:rFonts w:hint="eastAsia" w:ascii="宋体" w:hAnsi="宋体" w:cs="宋体"/>
          <w:i w:val="0"/>
          <w:iCs w:val="0"/>
          <w:caps w:val="0"/>
          <w:color w:val="000000"/>
          <w:spacing w:val="0"/>
          <w:kern w:val="0"/>
          <w:sz w:val="24"/>
          <w:szCs w:val="24"/>
          <w:shd w:val="clear" w:fill="FFFFFF"/>
          <w:lang w:val="en-US" w:eastAsia="zh-CN" w:bidi="ar"/>
        </w:rPr>
        <w:t>，</w:t>
      </w:r>
      <w:r>
        <w:rPr>
          <w:rFonts w:hint="eastAsia" w:ascii="宋体" w:hAnsi="宋体" w:eastAsia="宋体" w:cs="宋体"/>
          <w:i w:val="0"/>
          <w:iCs w:val="0"/>
          <w:caps w:val="0"/>
          <w:color w:val="000000"/>
          <w:spacing w:val="0"/>
          <w:kern w:val="0"/>
          <w:sz w:val="24"/>
          <w:szCs w:val="24"/>
          <w:shd w:val="clear" w:fill="FFFFFF"/>
          <w:lang w:val="en-US" w:eastAsia="zh-CN" w:bidi="ar"/>
        </w:rPr>
        <w:t>主动通过政府网站或者其他互联网政务媒体以及报刊等途径予以公开。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7" w:lineRule="exact"/>
        <w:ind w:left="0" w:right="0" w:firstLine="480"/>
        <w:jc w:val="both"/>
        <w:textAlignment w:val="auto"/>
        <w:rPr>
          <w:rFonts w:hint="eastAsia" w:ascii="楷体_GB2312" w:eastAsia="楷体_GB2312"/>
          <w:sz w:val="32"/>
          <w:szCs w:val="32"/>
        </w:rPr>
      </w:pPr>
      <w:r>
        <w:rPr>
          <w:rFonts w:hint="eastAsia" w:ascii="楷体" w:hAnsi="楷体" w:eastAsia="楷体" w:cs="楷体"/>
          <w:i w:val="0"/>
          <w:iCs w:val="0"/>
          <w:caps w:val="0"/>
          <w:color w:val="000000"/>
          <w:spacing w:val="0"/>
          <w:kern w:val="0"/>
          <w:sz w:val="24"/>
          <w:szCs w:val="24"/>
          <w:shd w:val="clear" w:fill="FFFFFF"/>
          <w:lang w:val="en-US" w:eastAsia="zh-CN" w:bidi="ar"/>
        </w:rPr>
        <w:t>（五）稳步推进监督保障工作落地落实</w:t>
      </w:r>
      <w:r>
        <w:rPr>
          <w:rFonts w:ascii="仿宋_GB2312" w:hAnsi="Calibri" w:eastAsia="仿宋_GB2312" w:cs="仿宋_GB2312"/>
          <w:i w:val="0"/>
          <w:iCs w:val="0"/>
          <w:caps w:val="0"/>
          <w:color w:val="000000"/>
          <w:spacing w:val="0"/>
          <w:kern w:val="0"/>
          <w:sz w:val="24"/>
          <w:szCs w:val="24"/>
          <w:shd w:val="clear" w:fill="FFFFFF"/>
          <w:lang w:val="en-US" w:eastAsia="zh-CN" w:bidi="ar"/>
        </w:rPr>
        <w:t>。</w:t>
      </w:r>
      <w:r>
        <w:rPr>
          <w:rFonts w:hint="eastAsia" w:ascii="宋体" w:hAnsi="宋体" w:eastAsia="宋体" w:cs="宋体"/>
          <w:i w:val="0"/>
          <w:iCs w:val="0"/>
          <w:caps w:val="0"/>
          <w:color w:val="000000"/>
          <w:spacing w:val="0"/>
          <w:kern w:val="0"/>
          <w:sz w:val="24"/>
          <w:szCs w:val="24"/>
          <w:shd w:val="clear" w:fill="FFFFFF"/>
          <w:lang w:val="en-US" w:eastAsia="zh-CN" w:bidi="ar"/>
        </w:rPr>
        <w:t>不断加强政府信息公开平台建设。将公开事项纳入办文程序，严格落实保密审查和逐级审核制度，切实把好政治关、政策关、文字关。将政府信息公开工作完成情况纳入局科室工作绩效考核，以考核督促相关工作按时办结。</w:t>
      </w:r>
    </w:p>
    <w:p>
      <w:pPr>
        <w:keepNext w:val="0"/>
        <w:keepLines w:val="0"/>
        <w:pageBreakBefore w:val="0"/>
        <w:kinsoku/>
        <w:wordWrap/>
        <w:overflowPunct/>
        <w:topLinePunct w:val="0"/>
        <w:autoSpaceDE/>
        <w:autoSpaceDN/>
        <w:bidi w:val="0"/>
        <w:adjustRightInd/>
        <w:snapToGrid/>
        <w:spacing w:line="577" w:lineRule="exact"/>
        <w:ind w:firstLine="482" w:firstLineChars="200"/>
        <w:textAlignment w:val="auto"/>
        <w:rPr>
          <w:rFonts w:hint="eastAsia" w:ascii="宋体" w:hAnsi="宋体" w:eastAsia="宋体" w:cs="宋体"/>
          <w:b/>
          <w:bCs/>
          <w:sz w:val="24"/>
          <w:szCs w:val="24"/>
        </w:rPr>
      </w:pPr>
    </w:p>
    <w:p>
      <w:pPr>
        <w:keepNext w:val="0"/>
        <w:keepLines w:val="0"/>
        <w:pageBreakBefore w:val="0"/>
        <w:numPr>
          <w:ilvl w:val="0"/>
          <w:numId w:val="1"/>
        </w:numPr>
        <w:kinsoku/>
        <w:wordWrap/>
        <w:overflowPunct/>
        <w:topLinePunct w:val="0"/>
        <w:autoSpaceDE/>
        <w:autoSpaceDN/>
        <w:bidi w:val="0"/>
        <w:adjustRightInd/>
        <w:snapToGrid/>
        <w:spacing w:line="577"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主动公开政府信息情况</w:t>
      </w:r>
    </w:p>
    <w:p>
      <w:pPr>
        <w:keepNext w:val="0"/>
        <w:keepLines w:val="0"/>
        <w:pageBreakBefore w:val="0"/>
        <w:numPr>
          <w:numId w:val="0"/>
        </w:numPr>
        <w:kinsoku/>
        <w:wordWrap/>
        <w:overflowPunct/>
        <w:topLinePunct w:val="0"/>
        <w:autoSpaceDE/>
        <w:autoSpaceDN/>
        <w:bidi w:val="0"/>
        <w:adjustRightInd/>
        <w:snapToGrid/>
        <w:spacing w:line="577" w:lineRule="exact"/>
        <w:textAlignment w:val="auto"/>
        <w:rPr>
          <w:rFonts w:hint="eastAsia" w:ascii="宋体" w:hAnsi="宋体" w:eastAsia="宋体" w:cs="宋体"/>
          <w:b/>
          <w:bCs/>
          <w:sz w:val="24"/>
          <w:szCs w:val="24"/>
        </w:rPr>
      </w:pPr>
    </w:p>
    <w:tbl>
      <w:tblPr>
        <w:tblStyle w:val="5"/>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245"/>
        <w:gridCol w:w="2205"/>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9100" w:type="dxa"/>
            <w:gridSpan w:val="4"/>
            <w:shd w:val="clear" w:color="auto" w:fill="auto"/>
            <w:noWrap w:val="0"/>
            <w:vAlign w:val="center"/>
          </w:tcPr>
          <w:p>
            <w:pPr>
              <w:keepNext w:val="0"/>
              <w:keepLines w:val="0"/>
              <w:pageBreakBefore w:val="0"/>
              <w:kinsoku/>
              <w:wordWrap/>
              <w:overflowPunct/>
              <w:topLinePunct w:val="0"/>
              <w:autoSpaceDE/>
              <w:autoSpaceDN/>
              <w:bidi w:val="0"/>
              <w:adjustRightInd/>
              <w:snapToGrid/>
              <w:spacing w:line="577" w:lineRule="exact"/>
              <w:jc w:val="center"/>
              <w:textAlignment w:val="auto"/>
              <w:rPr>
                <w:color w:val="FFFFFF" w:themeColor="background1"/>
                <w:sz w:val="24"/>
                <w:szCs w:val="24"/>
                <w14:textFill>
                  <w14:solidFill>
                    <w14:schemeClr w14:val="bg1"/>
                  </w14:solidFill>
                </w14:textFill>
              </w:rPr>
            </w:pPr>
            <w:r>
              <w:rPr>
                <w:sz w:val="24"/>
                <w:szCs w:val="24"/>
              </w:rPr>
              <w:t>第二十条  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130" w:type="dxa"/>
            <w:noWrap w:val="0"/>
            <w:vAlign w:val="center"/>
          </w:tcPr>
          <w:p>
            <w:pPr>
              <w:keepNext w:val="0"/>
              <w:keepLines w:val="0"/>
              <w:pageBreakBefore w:val="0"/>
              <w:kinsoku/>
              <w:wordWrap/>
              <w:overflowPunct/>
              <w:topLinePunct w:val="0"/>
              <w:autoSpaceDE/>
              <w:autoSpaceDN/>
              <w:bidi w:val="0"/>
              <w:adjustRightInd/>
              <w:snapToGrid/>
              <w:spacing w:line="577" w:lineRule="exact"/>
              <w:jc w:val="center"/>
              <w:textAlignment w:val="auto"/>
              <w:rPr>
                <w:sz w:val="24"/>
                <w:szCs w:val="24"/>
              </w:rPr>
            </w:pPr>
            <w:r>
              <w:rPr>
                <w:sz w:val="24"/>
                <w:szCs w:val="24"/>
              </w:rPr>
              <w:t>信息内容</w:t>
            </w:r>
          </w:p>
        </w:tc>
        <w:tc>
          <w:tcPr>
            <w:tcW w:w="2245" w:type="dxa"/>
            <w:noWrap w:val="0"/>
            <w:vAlign w:val="center"/>
          </w:tcPr>
          <w:p>
            <w:pPr>
              <w:keepNext w:val="0"/>
              <w:keepLines w:val="0"/>
              <w:pageBreakBefore w:val="0"/>
              <w:kinsoku/>
              <w:wordWrap/>
              <w:overflowPunct/>
              <w:topLinePunct w:val="0"/>
              <w:autoSpaceDE/>
              <w:autoSpaceDN/>
              <w:bidi w:val="0"/>
              <w:adjustRightInd/>
              <w:snapToGrid/>
              <w:spacing w:line="577" w:lineRule="exact"/>
              <w:jc w:val="center"/>
              <w:textAlignment w:val="auto"/>
              <w:rPr>
                <w:sz w:val="24"/>
                <w:szCs w:val="24"/>
              </w:rPr>
            </w:pPr>
            <w:r>
              <w:rPr>
                <w:sz w:val="24"/>
                <w:szCs w:val="24"/>
              </w:rPr>
              <w:t>本年制发件数</w:t>
            </w:r>
          </w:p>
        </w:tc>
        <w:tc>
          <w:tcPr>
            <w:tcW w:w="2205" w:type="dxa"/>
            <w:noWrap w:val="0"/>
            <w:vAlign w:val="center"/>
          </w:tcPr>
          <w:p>
            <w:pPr>
              <w:keepNext w:val="0"/>
              <w:keepLines w:val="0"/>
              <w:pageBreakBefore w:val="0"/>
              <w:kinsoku/>
              <w:wordWrap/>
              <w:overflowPunct/>
              <w:topLinePunct w:val="0"/>
              <w:autoSpaceDE/>
              <w:autoSpaceDN/>
              <w:bidi w:val="0"/>
              <w:adjustRightInd/>
              <w:snapToGrid/>
              <w:spacing w:line="577" w:lineRule="exact"/>
              <w:jc w:val="center"/>
              <w:textAlignment w:val="auto"/>
              <w:rPr>
                <w:sz w:val="24"/>
                <w:szCs w:val="24"/>
              </w:rPr>
            </w:pPr>
            <w:r>
              <w:rPr>
                <w:sz w:val="24"/>
                <w:szCs w:val="24"/>
              </w:rPr>
              <w:t>本年废止件数</w:t>
            </w:r>
          </w:p>
        </w:tc>
        <w:tc>
          <w:tcPr>
            <w:tcW w:w="2520" w:type="dxa"/>
            <w:noWrap w:val="0"/>
            <w:vAlign w:val="center"/>
          </w:tcPr>
          <w:p>
            <w:pPr>
              <w:keepNext w:val="0"/>
              <w:keepLines w:val="0"/>
              <w:pageBreakBefore w:val="0"/>
              <w:kinsoku/>
              <w:wordWrap/>
              <w:overflowPunct/>
              <w:topLinePunct w:val="0"/>
              <w:autoSpaceDE/>
              <w:autoSpaceDN/>
              <w:bidi w:val="0"/>
              <w:adjustRightInd/>
              <w:snapToGrid/>
              <w:spacing w:line="577" w:lineRule="exact"/>
              <w:jc w:val="center"/>
              <w:textAlignment w:val="auto"/>
              <w:rPr>
                <w:sz w:val="24"/>
                <w:szCs w:val="24"/>
              </w:rPr>
            </w:pPr>
            <w:r>
              <w:rPr>
                <w:sz w:val="24"/>
                <w:szCs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130" w:type="dxa"/>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rPr>
                <w:sz w:val="24"/>
                <w:szCs w:val="24"/>
              </w:rPr>
            </w:pPr>
            <w:r>
              <w:rPr>
                <w:sz w:val="24"/>
                <w:szCs w:val="24"/>
              </w:rPr>
              <w:t>规章</w:t>
            </w:r>
          </w:p>
        </w:tc>
        <w:tc>
          <w:tcPr>
            <w:tcW w:w="2245" w:type="dxa"/>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rFonts w:hint="eastAsia" w:eastAsia="宋体"/>
                <w:sz w:val="24"/>
                <w:szCs w:val="24"/>
                <w:lang w:val="en-US" w:eastAsia="zh-CN"/>
              </w:rPr>
            </w:pPr>
            <w:r>
              <w:rPr>
                <w:rFonts w:hint="eastAsia"/>
                <w:sz w:val="24"/>
                <w:szCs w:val="24"/>
                <w:lang w:val="en-US" w:eastAsia="zh-CN"/>
              </w:rPr>
              <w:t>0</w:t>
            </w:r>
          </w:p>
        </w:tc>
        <w:tc>
          <w:tcPr>
            <w:tcW w:w="2205" w:type="dxa"/>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rFonts w:hint="eastAsia" w:eastAsia="宋体"/>
                <w:sz w:val="24"/>
                <w:szCs w:val="24"/>
                <w:lang w:val="en-US" w:eastAsia="zh-CN"/>
              </w:rPr>
            </w:pPr>
            <w:r>
              <w:rPr>
                <w:rFonts w:hint="eastAsia"/>
                <w:sz w:val="24"/>
                <w:szCs w:val="24"/>
                <w:lang w:val="en-US" w:eastAsia="zh-CN"/>
              </w:rPr>
              <w:t>0</w:t>
            </w:r>
          </w:p>
        </w:tc>
        <w:tc>
          <w:tcPr>
            <w:tcW w:w="2520" w:type="dxa"/>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130" w:type="dxa"/>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rPr>
                <w:sz w:val="24"/>
                <w:szCs w:val="24"/>
              </w:rPr>
            </w:pPr>
            <w:r>
              <w:rPr>
                <w:sz w:val="24"/>
                <w:szCs w:val="24"/>
              </w:rPr>
              <w:t>行政规范性文件</w:t>
            </w:r>
          </w:p>
        </w:tc>
        <w:tc>
          <w:tcPr>
            <w:tcW w:w="2245" w:type="dxa"/>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rFonts w:hint="eastAsia" w:eastAsia="宋体"/>
                <w:sz w:val="24"/>
                <w:szCs w:val="24"/>
                <w:lang w:val="en-US" w:eastAsia="zh-CN"/>
              </w:rPr>
            </w:pPr>
            <w:r>
              <w:rPr>
                <w:rFonts w:hint="eastAsia"/>
                <w:sz w:val="24"/>
                <w:szCs w:val="24"/>
                <w:lang w:val="en-US" w:eastAsia="zh-CN"/>
              </w:rPr>
              <w:t>0</w:t>
            </w:r>
          </w:p>
        </w:tc>
        <w:tc>
          <w:tcPr>
            <w:tcW w:w="2205" w:type="dxa"/>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rFonts w:hint="eastAsia" w:eastAsia="宋体"/>
                <w:sz w:val="24"/>
                <w:szCs w:val="24"/>
                <w:lang w:val="en-US" w:eastAsia="zh-CN"/>
              </w:rPr>
            </w:pPr>
            <w:r>
              <w:rPr>
                <w:rFonts w:hint="eastAsia"/>
                <w:sz w:val="24"/>
                <w:szCs w:val="24"/>
                <w:lang w:val="en-US" w:eastAsia="zh-CN"/>
              </w:rPr>
              <w:t>0</w:t>
            </w:r>
          </w:p>
        </w:tc>
        <w:tc>
          <w:tcPr>
            <w:tcW w:w="2520" w:type="dxa"/>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100" w:type="dxa"/>
            <w:gridSpan w:val="4"/>
            <w:shd w:val="clear" w:color="auto" w:fill="auto"/>
            <w:noWrap w:val="0"/>
            <w:vAlign w:val="center"/>
          </w:tcPr>
          <w:p>
            <w:pPr>
              <w:keepNext w:val="0"/>
              <w:keepLines w:val="0"/>
              <w:pageBreakBefore w:val="0"/>
              <w:kinsoku/>
              <w:wordWrap/>
              <w:overflowPunct/>
              <w:topLinePunct w:val="0"/>
              <w:autoSpaceDE/>
              <w:autoSpaceDN/>
              <w:bidi w:val="0"/>
              <w:adjustRightInd/>
              <w:snapToGrid/>
              <w:spacing w:line="577" w:lineRule="exact"/>
              <w:jc w:val="center"/>
              <w:textAlignment w:val="auto"/>
              <w:rPr>
                <w:color w:val="FFFFFF" w:themeColor="background1"/>
                <w:sz w:val="24"/>
                <w:szCs w:val="24"/>
                <w14:textFill>
                  <w14:solidFill>
                    <w14:schemeClr w14:val="bg1"/>
                  </w14:solidFill>
                </w14:textFill>
              </w:rPr>
            </w:pPr>
            <w:r>
              <w:rPr>
                <w:sz w:val="24"/>
                <w:szCs w:val="24"/>
              </w:rPr>
              <w:t>第二十条  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130" w:type="dxa"/>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rPr>
                <w:sz w:val="24"/>
                <w:szCs w:val="24"/>
              </w:rPr>
            </w:pPr>
            <w:r>
              <w:rPr>
                <w:sz w:val="24"/>
                <w:szCs w:val="24"/>
              </w:rPr>
              <w:t>信息内容</w:t>
            </w:r>
          </w:p>
        </w:tc>
        <w:tc>
          <w:tcPr>
            <w:tcW w:w="6970" w:type="dxa"/>
            <w:gridSpan w:val="3"/>
            <w:noWrap w:val="0"/>
            <w:vAlign w:val="center"/>
          </w:tcPr>
          <w:p>
            <w:pPr>
              <w:keepNext w:val="0"/>
              <w:keepLines w:val="0"/>
              <w:pageBreakBefore w:val="0"/>
              <w:kinsoku/>
              <w:wordWrap/>
              <w:overflowPunct/>
              <w:topLinePunct w:val="0"/>
              <w:autoSpaceDE/>
              <w:autoSpaceDN/>
              <w:bidi w:val="0"/>
              <w:adjustRightInd/>
              <w:snapToGrid/>
              <w:spacing w:line="577" w:lineRule="exact"/>
              <w:jc w:val="center"/>
              <w:textAlignment w:val="auto"/>
              <w:rPr>
                <w:sz w:val="24"/>
                <w:szCs w:val="24"/>
              </w:rPr>
            </w:pPr>
            <w:r>
              <w:rPr>
                <w:sz w:val="24"/>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130" w:type="dxa"/>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rPr>
                <w:sz w:val="24"/>
                <w:szCs w:val="24"/>
              </w:rPr>
            </w:pPr>
            <w:r>
              <w:rPr>
                <w:sz w:val="24"/>
                <w:szCs w:val="24"/>
              </w:rPr>
              <w:t>行政许可</w:t>
            </w:r>
          </w:p>
        </w:tc>
        <w:tc>
          <w:tcPr>
            <w:tcW w:w="6970" w:type="dxa"/>
            <w:gridSpan w:val="3"/>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100" w:type="dxa"/>
            <w:gridSpan w:val="4"/>
            <w:shd w:val="clear" w:color="auto" w:fill="auto"/>
            <w:noWrap w:val="0"/>
            <w:vAlign w:val="center"/>
          </w:tcPr>
          <w:p>
            <w:pPr>
              <w:keepNext w:val="0"/>
              <w:keepLines w:val="0"/>
              <w:pageBreakBefore w:val="0"/>
              <w:kinsoku/>
              <w:wordWrap/>
              <w:overflowPunct/>
              <w:topLinePunct w:val="0"/>
              <w:autoSpaceDE/>
              <w:autoSpaceDN/>
              <w:bidi w:val="0"/>
              <w:adjustRightInd/>
              <w:snapToGrid/>
              <w:spacing w:line="577" w:lineRule="exact"/>
              <w:jc w:val="center"/>
              <w:textAlignment w:val="auto"/>
              <w:rPr>
                <w:sz w:val="24"/>
                <w:szCs w:val="24"/>
              </w:rPr>
            </w:pPr>
            <w:r>
              <w:rPr>
                <w:sz w:val="24"/>
                <w:szCs w:val="24"/>
              </w:rPr>
              <w:t>第二十条  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130" w:type="dxa"/>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rPr>
                <w:sz w:val="24"/>
                <w:szCs w:val="24"/>
              </w:rPr>
            </w:pPr>
            <w:r>
              <w:rPr>
                <w:sz w:val="24"/>
                <w:szCs w:val="24"/>
              </w:rPr>
              <w:t>信息内容</w:t>
            </w:r>
          </w:p>
        </w:tc>
        <w:tc>
          <w:tcPr>
            <w:tcW w:w="6970" w:type="dxa"/>
            <w:gridSpan w:val="3"/>
            <w:noWrap w:val="0"/>
            <w:vAlign w:val="center"/>
          </w:tcPr>
          <w:p>
            <w:pPr>
              <w:keepNext w:val="0"/>
              <w:keepLines w:val="0"/>
              <w:pageBreakBefore w:val="0"/>
              <w:kinsoku/>
              <w:wordWrap/>
              <w:overflowPunct/>
              <w:topLinePunct w:val="0"/>
              <w:autoSpaceDE/>
              <w:autoSpaceDN/>
              <w:bidi w:val="0"/>
              <w:adjustRightInd/>
              <w:snapToGrid/>
              <w:spacing w:line="577" w:lineRule="exact"/>
              <w:jc w:val="center"/>
              <w:textAlignment w:val="auto"/>
              <w:rPr>
                <w:sz w:val="24"/>
                <w:szCs w:val="24"/>
              </w:rPr>
            </w:pPr>
            <w:r>
              <w:rPr>
                <w:sz w:val="24"/>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130" w:type="dxa"/>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rPr>
                <w:sz w:val="24"/>
                <w:szCs w:val="24"/>
              </w:rPr>
            </w:pPr>
            <w:r>
              <w:rPr>
                <w:sz w:val="24"/>
                <w:szCs w:val="24"/>
              </w:rPr>
              <w:t>行政处罚</w:t>
            </w:r>
          </w:p>
        </w:tc>
        <w:tc>
          <w:tcPr>
            <w:tcW w:w="6970" w:type="dxa"/>
            <w:gridSpan w:val="3"/>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130" w:type="dxa"/>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rPr>
                <w:sz w:val="24"/>
                <w:szCs w:val="24"/>
              </w:rPr>
            </w:pPr>
            <w:r>
              <w:rPr>
                <w:sz w:val="24"/>
                <w:szCs w:val="24"/>
              </w:rPr>
              <w:t>行政强制</w:t>
            </w:r>
          </w:p>
        </w:tc>
        <w:tc>
          <w:tcPr>
            <w:tcW w:w="6970" w:type="dxa"/>
            <w:gridSpan w:val="3"/>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100" w:type="dxa"/>
            <w:gridSpan w:val="4"/>
            <w:shd w:val="clear" w:color="auto" w:fill="auto"/>
            <w:noWrap w:val="0"/>
            <w:vAlign w:val="center"/>
          </w:tcPr>
          <w:p>
            <w:pPr>
              <w:keepNext w:val="0"/>
              <w:keepLines w:val="0"/>
              <w:pageBreakBefore w:val="0"/>
              <w:kinsoku/>
              <w:wordWrap/>
              <w:overflowPunct/>
              <w:topLinePunct w:val="0"/>
              <w:autoSpaceDE/>
              <w:autoSpaceDN/>
              <w:bidi w:val="0"/>
              <w:adjustRightInd/>
              <w:snapToGrid/>
              <w:spacing w:line="577" w:lineRule="exact"/>
              <w:jc w:val="center"/>
              <w:textAlignment w:val="auto"/>
              <w:rPr>
                <w:sz w:val="24"/>
                <w:szCs w:val="24"/>
              </w:rPr>
            </w:pPr>
            <w:r>
              <w:rPr>
                <w:sz w:val="24"/>
                <w:szCs w:val="24"/>
              </w:rPr>
              <w:t>第二十条  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130" w:type="dxa"/>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rPr>
                <w:sz w:val="24"/>
                <w:szCs w:val="24"/>
              </w:rPr>
            </w:pPr>
            <w:r>
              <w:rPr>
                <w:sz w:val="24"/>
                <w:szCs w:val="24"/>
              </w:rPr>
              <w:t>信息内容</w:t>
            </w:r>
          </w:p>
        </w:tc>
        <w:tc>
          <w:tcPr>
            <w:tcW w:w="6970" w:type="dxa"/>
            <w:gridSpan w:val="3"/>
            <w:noWrap w:val="0"/>
            <w:vAlign w:val="center"/>
          </w:tcPr>
          <w:p>
            <w:pPr>
              <w:keepNext w:val="0"/>
              <w:keepLines w:val="0"/>
              <w:pageBreakBefore w:val="0"/>
              <w:kinsoku/>
              <w:wordWrap/>
              <w:overflowPunct/>
              <w:topLinePunct w:val="0"/>
              <w:autoSpaceDE/>
              <w:autoSpaceDN/>
              <w:bidi w:val="0"/>
              <w:adjustRightInd/>
              <w:snapToGrid/>
              <w:spacing w:line="577" w:lineRule="exact"/>
              <w:jc w:val="center"/>
              <w:textAlignment w:val="auto"/>
              <w:rPr>
                <w:sz w:val="24"/>
                <w:szCs w:val="24"/>
              </w:rPr>
            </w:pPr>
            <w:r>
              <w:rPr>
                <w:sz w:val="24"/>
                <w:szCs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130" w:type="dxa"/>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rPr>
                <w:sz w:val="24"/>
                <w:szCs w:val="24"/>
              </w:rPr>
            </w:pPr>
            <w:r>
              <w:rPr>
                <w:sz w:val="24"/>
                <w:szCs w:val="24"/>
              </w:rPr>
              <w:t>行政事业性收费</w:t>
            </w:r>
          </w:p>
        </w:tc>
        <w:tc>
          <w:tcPr>
            <w:tcW w:w="6970" w:type="dxa"/>
            <w:gridSpan w:val="3"/>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rFonts w:hint="eastAsia" w:eastAsia="宋体"/>
                <w:sz w:val="24"/>
                <w:szCs w:val="24"/>
                <w:lang w:val="en-US" w:eastAsia="zh-CN"/>
              </w:rPr>
            </w:pPr>
            <w:r>
              <w:rPr>
                <w:rFonts w:hint="eastAsia"/>
                <w:sz w:val="24"/>
                <w:szCs w:val="24"/>
                <w:lang w:val="en-US" w:eastAsia="zh-CN"/>
              </w:rPr>
              <w:t>0</w:t>
            </w:r>
          </w:p>
        </w:tc>
      </w:tr>
    </w:tbl>
    <w:p>
      <w:pPr>
        <w:keepNext w:val="0"/>
        <w:keepLines w:val="0"/>
        <w:pageBreakBefore w:val="0"/>
        <w:kinsoku/>
        <w:wordWrap/>
        <w:overflowPunct/>
        <w:topLinePunct w:val="0"/>
        <w:autoSpaceDE/>
        <w:autoSpaceDN/>
        <w:bidi w:val="0"/>
        <w:adjustRightInd/>
        <w:snapToGrid/>
        <w:spacing w:line="577" w:lineRule="exact"/>
        <w:ind w:firstLine="482" w:firstLineChars="200"/>
        <w:textAlignment w:val="auto"/>
        <w:rPr>
          <w:rFonts w:hint="eastAsia" w:ascii="宋体" w:hAnsi="宋体" w:eastAsia="宋体" w:cs="宋体"/>
          <w:b/>
          <w:bCs/>
          <w:sz w:val="24"/>
          <w:szCs w:val="24"/>
        </w:rPr>
      </w:pPr>
    </w:p>
    <w:p>
      <w:pPr>
        <w:keepNext w:val="0"/>
        <w:keepLines w:val="0"/>
        <w:pageBreakBefore w:val="0"/>
        <w:numPr>
          <w:ilvl w:val="0"/>
          <w:numId w:val="1"/>
        </w:numPr>
        <w:kinsoku/>
        <w:wordWrap/>
        <w:overflowPunct/>
        <w:topLinePunct w:val="0"/>
        <w:autoSpaceDE/>
        <w:autoSpaceDN/>
        <w:bidi w:val="0"/>
        <w:adjustRightInd/>
        <w:snapToGrid/>
        <w:spacing w:line="577" w:lineRule="exact"/>
        <w:ind w:left="0"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收到和处理政府信息公开申请情况</w:t>
      </w:r>
    </w:p>
    <w:p>
      <w:pPr>
        <w:keepNext w:val="0"/>
        <w:keepLines w:val="0"/>
        <w:pageBreakBefore w:val="0"/>
        <w:numPr>
          <w:numId w:val="0"/>
        </w:numPr>
        <w:kinsoku/>
        <w:wordWrap/>
        <w:overflowPunct/>
        <w:topLinePunct w:val="0"/>
        <w:autoSpaceDE/>
        <w:autoSpaceDN/>
        <w:bidi w:val="0"/>
        <w:adjustRightInd/>
        <w:snapToGrid/>
        <w:spacing w:line="577" w:lineRule="exact"/>
        <w:ind w:leftChars="200"/>
        <w:textAlignment w:val="auto"/>
        <w:rPr>
          <w:rFonts w:hint="eastAsia" w:ascii="宋体" w:hAnsi="宋体" w:eastAsia="宋体" w:cs="宋体"/>
          <w:b/>
          <w:bCs/>
          <w:sz w:val="24"/>
          <w:szCs w:val="24"/>
        </w:rPr>
      </w:pPr>
    </w:p>
    <w:tbl>
      <w:tblPr>
        <w:tblStyle w:val="5"/>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753"/>
        <w:gridCol w:w="2757"/>
        <w:gridCol w:w="552"/>
        <w:gridCol w:w="630"/>
        <w:gridCol w:w="630"/>
        <w:gridCol w:w="628"/>
        <w:gridCol w:w="839"/>
        <w:gridCol w:w="738"/>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242" w:type="dxa"/>
            <w:gridSpan w:val="3"/>
            <w:vMerge w:val="restart"/>
            <w:tcBorders>
              <w:top w:val="single" w:color="auto" w:sz="4" w:space="0"/>
              <w:left w:val="single" w:color="auto" w:sz="4" w:space="0"/>
              <w:bottom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rPr>
                <w:rFonts w:hint="eastAsia" w:ascii="楷体_GB2312" w:eastAsia="楷体_GB2312"/>
              </w:rPr>
            </w:pPr>
            <w:r>
              <w:rPr>
                <w:rFonts w:hint="eastAsia" w:ascii="楷体_GB2312" w:eastAsia="楷体_GB2312"/>
              </w:rPr>
              <w:t>（本列数据的勾稽关系为：第一项加第二项之和，等于第三项加第四项之和）</w:t>
            </w:r>
          </w:p>
        </w:tc>
        <w:tc>
          <w:tcPr>
            <w:tcW w:w="4855"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ind w:firstLine="2118" w:firstLineChars="1177"/>
              <w:textAlignment w:val="auto"/>
              <w:rPr>
                <w:sz w:val="18"/>
                <w:szCs w:val="18"/>
              </w:rPr>
            </w:pPr>
            <w:r>
              <w:rPr>
                <w:sz w:val="18"/>
                <w:szCs w:val="18"/>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4242" w:type="dxa"/>
            <w:gridSpan w:val="3"/>
            <w:vMerge w:val="continue"/>
            <w:tcBorders>
              <w:left w:val="single" w:color="auto" w:sz="4" w:space="0"/>
              <w:bottom w:val="nil"/>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pPr>
          </w:p>
        </w:tc>
        <w:tc>
          <w:tcPr>
            <w:tcW w:w="55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sz w:val="18"/>
                <w:szCs w:val="18"/>
              </w:rPr>
              <w:t>自然人</w:t>
            </w:r>
          </w:p>
        </w:tc>
        <w:tc>
          <w:tcPr>
            <w:tcW w:w="3465"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sz w:val="18"/>
                <w:szCs w:val="18"/>
              </w:rPr>
              <w:t>法人或其他组织</w:t>
            </w:r>
          </w:p>
        </w:tc>
        <w:tc>
          <w:tcPr>
            <w:tcW w:w="83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2" w:type="dxa"/>
            <w:gridSpan w:val="3"/>
            <w:vMerge w:val="continue"/>
            <w:tcBorders>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pPr>
          </w:p>
        </w:tc>
        <w:tc>
          <w:tcPr>
            <w:tcW w:w="5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pP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sz w:val="18"/>
                <w:szCs w:val="18"/>
              </w:rPr>
              <w:t>商业企业</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sz w:val="18"/>
                <w:szCs w:val="18"/>
              </w:rPr>
              <w:t>科研机构</w:t>
            </w:r>
          </w:p>
        </w:tc>
        <w:tc>
          <w:tcPr>
            <w:tcW w:w="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sz w:val="18"/>
                <w:szCs w:val="18"/>
              </w:rPr>
              <w:t>社会公益组织</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sz w:val="18"/>
                <w:szCs w:val="18"/>
              </w:rPr>
              <w:t>法律服务机构</w:t>
            </w:r>
          </w:p>
        </w:tc>
        <w:tc>
          <w:tcPr>
            <w:tcW w:w="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sz w:val="18"/>
                <w:szCs w:val="18"/>
              </w:rPr>
              <w:t>其他</w:t>
            </w:r>
          </w:p>
        </w:tc>
        <w:tc>
          <w:tcPr>
            <w:tcW w:w="83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24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rPr>
                <w:sz w:val="18"/>
                <w:szCs w:val="18"/>
              </w:rPr>
            </w:pPr>
            <w:r>
              <w:rPr>
                <w:sz w:val="18"/>
                <w:szCs w:val="18"/>
              </w:rPr>
              <w:t>一、本年新收政府信息公开申请数量</w:t>
            </w:r>
          </w:p>
        </w:tc>
        <w:tc>
          <w:tcPr>
            <w:tcW w:w="5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rFonts w:hint="eastAsia" w:eastAsia="宋体"/>
                <w:lang w:val="en-US" w:eastAsia="zh-CN"/>
              </w:rPr>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rFonts w:hint="eastAsia" w:eastAsia="宋体"/>
                <w:lang w:val="en-US" w:eastAsia="zh-CN"/>
              </w:rPr>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rFonts w:hint="eastAsia" w:eastAsia="宋体"/>
                <w:lang w:val="en-US" w:eastAsia="zh-CN"/>
              </w:rPr>
            </w:pPr>
            <w:r>
              <w:rPr>
                <w:rFonts w:hint="eastAsia"/>
                <w:lang w:val="en-US" w:eastAsia="zh-CN"/>
              </w:rPr>
              <w:t>0</w:t>
            </w:r>
          </w:p>
        </w:tc>
        <w:tc>
          <w:tcPr>
            <w:tcW w:w="6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rFonts w:hint="eastAsia" w:eastAsia="宋体"/>
                <w:lang w:val="en-US" w:eastAsia="zh-CN"/>
              </w:rPr>
            </w:pPr>
            <w:r>
              <w:rPr>
                <w:rFonts w:hint="eastAsia"/>
                <w:lang w:val="en-US" w:eastAsia="zh-CN"/>
              </w:rPr>
              <w:t>0</w:t>
            </w:r>
          </w:p>
        </w:tc>
        <w:tc>
          <w:tcPr>
            <w:tcW w:w="8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rFonts w:hint="eastAsia" w:eastAsia="宋体"/>
                <w:lang w:val="en-US" w:eastAsia="zh-CN"/>
              </w:rPr>
            </w:pPr>
            <w:r>
              <w:rPr>
                <w:rFonts w:hint="eastAsia"/>
                <w:lang w:val="en-US" w:eastAsia="zh-CN"/>
              </w:rPr>
              <w:t>0</w:t>
            </w:r>
          </w:p>
        </w:tc>
        <w:tc>
          <w:tcPr>
            <w:tcW w:w="7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rFonts w:hint="eastAsia" w:eastAsia="宋体"/>
                <w:lang w:val="en-US" w:eastAsia="zh-CN"/>
              </w:rPr>
            </w:pPr>
            <w:r>
              <w:rPr>
                <w:rFonts w:hint="eastAsia"/>
                <w:lang w:val="en-US" w:eastAsia="zh-CN"/>
              </w:rPr>
              <w:t>0</w:t>
            </w:r>
          </w:p>
        </w:tc>
        <w:tc>
          <w:tcPr>
            <w:tcW w:w="8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rFonts w:hint="eastAsia" w:eastAsia="宋体"/>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424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rPr>
                <w:sz w:val="18"/>
                <w:szCs w:val="18"/>
              </w:rPr>
            </w:pPr>
            <w:r>
              <w:rPr>
                <w:sz w:val="18"/>
                <w:szCs w:val="18"/>
              </w:rPr>
              <w:t>二、上年结转政府信息公开申请数量</w:t>
            </w:r>
          </w:p>
        </w:tc>
        <w:tc>
          <w:tcPr>
            <w:tcW w:w="5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rFonts w:hint="eastAsia" w:eastAsia="宋体"/>
                <w:lang w:val="en-US" w:eastAsia="zh-CN"/>
              </w:rPr>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rFonts w:hint="eastAsia" w:eastAsia="宋体"/>
                <w:lang w:val="en-US" w:eastAsia="zh-CN"/>
              </w:rPr>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rFonts w:hint="eastAsia" w:eastAsia="宋体"/>
                <w:lang w:val="en-US" w:eastAsia="zh-CN"/>
              </w:rPr>
            </w:pPr>
            <w:r>
              <w:rPr>
                <w:rFonts w:hint="eastAsia"/>
                <w:lang w:val="en-US" w:eastAsia="zh-CN"/>
              </w:rPr>
              <w:t>0</w:t>
            </w:r>
          </w:p>
        </w:tc>
        <w:tc>
          <w:tcPr>
            <w:tcW w:w="6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rFonts w:hint="eastAsia" w:eastAsia="宋体"/>
                <w:lang w:val="en-US" w:eastAsia="zh-CN"/>
              </w:rPr>
            </w:pPr>
            <w:r>
              <w:rPr>
                <w:rFonts w:hint="eastAsia"/>
                <w:lang w:val="en-US" w:eastAsia="zh-CN"/>
              </w:rPr>
              <w:t>0</w:t>
            </w:r>
          </w:p>
        </w:tc>
        <w:tc>
          <w:tcPr>
            <w:tcW w:w="8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rFonts w:hint="eastAsia" w:eastAsia="宋体"/>
                <w:lang w:val="en-US" w:eastAsia="zh-CN"/>
              </w:rPr>
            </w:pPr>
            <w:r>
              <w:rPr>
                <w:rFonts w:hint="eastAsia"/>
                <w:lang w:val="en-US" w:eastAsia="zh-CN"/>
              </w:rPr>
              <w:t>0</w:t>
            </w:r>
          </w:p>
        </w:tc>
        <w:tc>
          <w:tcPr>
            <w:tcW w:w="7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rFonts w:hint="eastAsia" w:eastAsia="宋体"/>
                <w:lang w:val="en-US" w:eastAsia="zh-CN"/>
              </w:rPr>
            </w:pPr>
            <w:r>
              <w:rPr>
                <w:rFonts w:hint="eastAsia"/>
                <w:lang w:val="en-US" w:eastAsia="zh-CN"/>
              </w:rPr>
              <w:t>0</w:t>
            </w:r>
          </w:p>
        </w:tc>
        <w:tc>
          <w:tcPr>
            <w:tcW w:w="8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rFonts w:hint="eastAsia" w:eastAsia="宋体"/>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3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sz w:val="18"/>
                <w:szCs w:val="18"/>
              </w:rPr>
              <w:t>三、本年度办理结果</w:t>
            </w:r>
          </w:p>
        </w:tc>
        <w:tc>
          <w:tcPr>
            <w:tcW w:w="351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rPr>
                <w:sz w:val="18"/>
                <w:szCs w:val="18"/>
              </w:rPr>
            </w:pPr>
            <w:r>
              <w:rPr>
                <w:sz w:val="18"/>
                <w:szCs w:val="18"/>
              </w:rPr>
              <w:t>（一）予以公开</w:t>
            </w:r>
          </w:p>
        </w:tc>
        <w:tc>
          <w:tcPr>
            <w:tcW w:w="5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7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pPr>
          </w:p>
        </w:tc>
        <w:tc>
          <w:tcPr>
            <w:tcW w:w="351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rPr>
                <w:sz w:val="18"/>
                <w:szCs w:val="18"/>
              </w:rPr>
            </w:pPr>
            <w:r>
              <w:rPr>
                <w:sz w:val="18"/>
                <w:szCs w:val="18"/>
              </w:rPr>
              <w:t>（二）部分公开</w:t>
            </w:r>
            <w:r>
              <w:rPr>
                <w:rFonts w:hint="eastAsia" w:ascii="仿宋_GB2312" w:eastAsia="仿宋_GB2312"/>
                <w:sz w:val="18"/>
                <w:szCs w:val="18"/>
              </w:rPr>
              <w:t>（区分处理的，只计这一情况，不计其他情形）</w:t>
            </w:r>
          </w:p>
        </w:tc>
        <w:tc>
          <w:tcPr>
            <w:tcW w:w="5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7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pPr>
          </w:p>
        </w:tc>
        <w:tc>
          <w:tcPr>
            <w:tcW w:w="75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sz w:val="18"/>
                <w:szCs w:val="18"/>
              </w:rPr>
              <w:t>（三）不予公开</w:t>
            </w:r>
          </w:p>
        </w:tc>
        <w:tc>
          <w:tcPr>
            <w:tcW w:w="27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rPr>
                <w:sz w:val="18"/>
                <w:szCs w:val="18"/>
              </w:rPr>
            </w:pPr>
            <w:r>
              <w:rPr>
                <w:sz w:val="18"/>
                <w:szCs w:val="18"/>
              </w:rPr>
              <w:t>1.属于国家秘密</w:t>
            </w:r>
          </w:p>
        </w:tc>
        <w:tc>
          <w:tcPr>
            <w:tcW w:w="5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7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pPr>
          </w:p>
        </w:tc>
        <w:tc>
          <w:tcPr>
            <w:tcW w:w="7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pPr>
          </w:p>
        </w:tc>
        <w:tc>
          <w:tcPr>
            <w:tcW w:w="27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rPr>
                <w:sz w:val="18"/>
                <w:szCs w:val="18"/>
              </w:rPr>
            </w:pPr>
            <w:r>
              <w:rPr>
                <w:sz w:val="18"/>
                <w:szCs w:val="18"/>
              </w:rPr>
              <w:t>2.其他法律行政法规禁止公开</w:t>
            </w:r>
          </w:p>
        </w:tc>
        <w:tc>
          <w:tcPr>
            <w:tcW w:w="5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7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pPr>
          </w:p>
        </w:tc>
        <w:tc>
          <w:tcPr>
            <w:tcW w:w="7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pPr>
          </w:p>
        </w:tc>
        <w:tc>
          <w:tcPr>
            <w:tcW w:w="27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rPr>
                <w:sz w:val="18"/>
                <w:szCs w:val="18"/>
              </w:rPr>
            </w:pPr>
            <w:r>
              <w:rPr>
                <w:sz w:val="18"/>
                <w:szCs w:val="18"/>
              </w:rPr>
              <w:t>3.危及</w:t>
            </w:r>
            <w:r>
              <w:rPr>
                <w:rFonts w:hint="eastAsia"/>
                <w:sz w:val="18"/>
                <w:szCs w:val="18"/>
              </w:rPr>
              <w:t>“</w:t>
            </w:r>
            <w:r>
              <w:rPr>
                <w:sz w:val="18"/>
                <w:szCs w:val="18"/>
              </w:rPr>
              <w:t>三安全一稳定</w:t>
            </w:r>
            <w:r>
              <w:rPr>
                <w:rFonts w:hint="eastAsia"/>
                <w:sz w:val="18"/>
                <w:szCs w:val="18"/>
              </w:rPr>
              <w:t>”</w:t>
            </w:r>
          </w:p>
        </w:tc>
        <w:tc>
          <w:tcPr>
            <w:tcW w:w="5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7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pPr>
          </w:p>
        </w:tc>
        <w:tc>
          <w:tcPr>
            <w:tcW w:w="7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pPr>
          </w:p>
        </w:tc>
        <w:tc>
          <w:tcPr>
            <w:tcW w:w="27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rPr>
                <w:sz w:val="18"/>
                <w:szCs w:val="18"/>
              </w:rPr>
            </w:pPr>
            <w:r>
              <w:rPr>
                <w:sz w:val="18"/>
                <w:szCs w:val="18"/>
              </w:rPr>
              <w:t>4.保护第三方合法权益</w:t>
            </w:r>
          </w:p>
        </w:tc>
        <w:tc>
          <w:tcPr>
            <w:tcW w:w="5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7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pPr>
          </w:p>
        </w:tc>
        <w:tc>
          <w:tcPr>
            <w:tcW w:w="7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pPr>
          </w:p>
        </w:tc>
        <w:tc>
          <w:tcPr>
            <w:tcW w:w="27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rPr>
                <w:sz w:val="18"/>
                <w:szCs w:val="18"/>
              </w:rPr>
            </w:pPr>
            <w:r>
              <w:rPr>
                <w:sz w:val="18"/>
                <w:szCs w:val="18"/>
              </w:rPr>
              <w:t>5.属于三类内容事务信息</w:t>
            </w:r>
          </w:p>
        </w:tc>
        <w:tc>
          <w:tcPr>
            <w:tcW w:w="5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7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pPr>
          </w:p>
        </w:tc>
        <w:tc>
          <w:tcPr>
            <w:tcW w:w="7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pPr>
          </w:p>
        </w:tc>
        <w:tc>
          <w:tcPr>
            <w:tcW w:w="27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rPr>
                <w:sz w:val="18"/>
                <w:szCs w:val="18"/>
              </w:rPr>
            </w:pPr>
            <w:r>
              <w:rPr>
                <w:sz w:val="18"/>
                <w:szCs w:val="18"/>
              </w:rPr>
              <w:t>6.属于四类过程性信息</w:t>
            </w:r>
          </w:p>
        </w:tc>
        <w:tc>
          <w:tcPr>
            <w:tcW w:w="5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7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pPr>
          </w:p>
        </w:tc>
        <w:tc>
          <w:tcPr>
            <w:tcW w:w="7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pPr>
          </w:p>
        </w:tc>
        <w:tc>
          <w:tcPr>
            <w:tcW w:w="27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rPr>
                <w:sz w:val="18"/>
                <w:szCs w:val="18"/>
              </w:rPr>
            </w:pPr>
            <w:r>
              <w:rPr>
                <w:sz w:val="18"/>
                <w:szCs w:val="18"/>
              </w:rPr>
              <w:t>7.属于行政执法案卷</w:t>
            </w:r>
          </w:p>
        </w:tc>
        <w:tc>
          <w:tcPr>
            <w:tcW w:w="5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7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pPr>
          </w:p>
        </w:tc>
        <w:tc>
          <w:tcPr>
            <w:tcW w:w="7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pPr>
          </w:p>
        </w:tc>
        <w:tc>
          <w:tcPr>
            <w:tcW w:w="27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rPr>
                <w:sz w:val="18"/>
                <w:szCs w:val="18"/>
              </w:rPr>
            </w:pPr>
            <w:r>
              <w:rPr>
                <w:sz w:val="18"/>
                <w:szCs w:val="18"/>
              </w:rPr>
              <w:t>8.属于行政查询事项</w:t>
            </w:r>
          </w:p>
        </w:tc>
        <w:tc>
          <w:tcPr>
            <w:tcW w:w="5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7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pPr>
          </w:p>
        </w:tc>
        <w:tc>
          <w:tcPr>
            <w:tcW w:w="75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sz w:val="18"/>
                <w:szCs w:val="18"/>
              </w:rPr>
              <w:t>（四）无法提供</w:t>
            </w:r>
          </w:p>
        </w:tc>
        <w:tc>
          <w:tcPr>
            <w:tcW w:w="27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rPr>
                <w:sz w:val="18"/>
                <w:szCs w:val="18"/>
              </w:rPr>
            </w:pPr>
            <w:r>
              <w:rPr>
                <w:sz w:val="18"/>
                <w:szCs w:val="18"/>
              </w:rPr>
              <w:t>1.本机关不掌握相关政府信息</w:t>
            </w:r>
          </w:p>
        </w:tc>
        <w:tc>
          <w:tcPr>
            <w:tcW w:w="5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7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pPr>
          </w:p>
        </w:tc>
        <w:tc>
          <w:tcPr>
            <w:tcW w:w="753"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pPr>
          </w:p>
        </w:tc>
        <w:tc>
          <w:tcPr>
            <w:tcW w:w="27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rPr>
                <w:sz w:val="18"/>
                <w:szCs w:val="18"/>
              </w:rPr>
            </w:pPr>
            <w:r>
              <w:rPr>
                <w:sz w:val="18"/>
                <w:szCs w:val="18"/>
              </w:rPr>
              <w:t>2.没有现成信息需要另行制作</w:t>
            </w:r>
          </w:p>
        </w:tc>
        <w:tc>
          <w:tcPr>
            <w:tcW w:w="5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7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pPr>
          </w:p>
        </w:tc>
        <w:tc>
          <w:tcPr>
            <w:tcW w:w="753"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pPr>
          </w:p>
        </w:tc>
        <w:tc>
          <w:tcPr>
            <w:tcW w:w="27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rPr>
                <w:sz w:val="18"/>
                <w:szCs w:val="18"/>
              </w:rPr>
            </w:pPr>
            <w:r>
              <w:rPr>
                <w:sz w:val="18"/>
                <w:szCs w:val="18"/>
              </w:rPr>
              <w:t>3.补正后申请内容仍不明确</w:t>
            </w:r>
          </w:p>
        </w:tc>
        <w:tc>
          <w:tcPr>
            <w:tcW w:w="5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7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pPr>
          </w:p>
        </w:tc>
        <w:tc>
          <w:tcPr>
            <w:tcW w:w="75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sz w:val="18"/>
                <w:szCs w:val="18"/>
              </w:rPr>
              <w:t>（五）不予处理</w:t>
            </w:r>
          </w:p>
        </w:tc>
        <w:tc>
          <w:tcPr>
            <w:tcW w:w="27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rPr>
                <w:sz w:val="18"/>
                <w:szCs w:val="18"/>
              </w:rPr>
            </w:pPr>
            <w:r>
              <w:rPr>
                <w:sz w:val="18"/>
                <w:szCs w:val="18"/>
              </w:rPr>
              <w:t>1.信访举报投诉类申请</w:t>
            </w:r>
          </w:p>
        </w:tc>
        <w:tc>
          <w:tcPr>
            <w:tcW w:w="5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7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pPr>
          </w:p>
        </w:tc>
        <w:tc>
          <w:tcPr>
            <w:tcW w:w="753"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pPr>
          </w:p>
        </w:tc>
        <w:tc>
          <w:tcPr>
            <w:tcW w:w="27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rPr>
                <w:sz w:val="18"/>
                <w:szCs w:val="18"/>
              </w:rPr>
            </w:pPr>
            <w:r>
              <w:rPr>
                <w:sz w:val="18"/>
                <w:szCs w:val="18"/>
              </w:rPr>
              <w:t>2.重复申请</w:t>
            </w:r>
          </w:p>
        </w:tc>
        <w:tc>
          <w:tcPr>
            <w:tcW w:w="5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7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pPr>
          </w:p>
        </w:tc>
        <w:tc>
          <w:tcPr>
            <w:tcW w:w="753"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pPr>
          </w:p>
        </w:tc>
        <w:tc>
          <w:tcPr>
            <w:tcW w:w="27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rPr>
                <w:sz w:val="18"/>
                <w:szCs w:val="18"/>
              </w:rPr>
            </w:pPr>
            <w:r>
              <w:rPr>
                <w:sz w:val="18"/>
                <w:szCs w:val="18"/>
              </w:rPr>
              <w:t>3.要求提供公开出版物</w:t>
            </w:r>
          </w:p>
        </w:tc>
        <w:tc>
          <w:tcPr>
            <w:tcW w:w="5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7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pPr>
          </w:p>
        </w:tc>
        <w:tc>
          <w:tcPr>
            <w:tcW w:w="753"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pPr>
          </w:p>
        </w:tc>
        <w:tc>
          <w:tcPr>
            <w:tcW w:w="27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rPr>
                <w:sz w:val="18"/>
                <w:szCs w:val="18"/>
              </w:rPr>
            </w:pPr>
            <w:r>
              <w:rPr>
                <w:sz w:val="18"/>
                <w:szCs w:val="18"/>
              </w:rPr>
              <w:t>4.无正当理由大量反复申请</w:t>
            </w:r>
          </w:p>
        </w:tc>
        <w:tc>
          <w:tcPr>
            <w:tcW w:w="5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7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pPr>
          </w:p>
        </w:tc>
        <w:tc>
          <w:tcPr>
            <w:tcW w:w="753"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pPr>
          </w:p>
        </w:tc>
        <w:tc>
          <w:tcPr>
            <w:tcW w:w="27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rPr>
                <w:sz w:val="18"/>
                <w:szCs w:val="18"/>
              </w:rPr>
            </w:pPr>
            <w:r>
              <w:rPr>
                <w:sz w:val="18"/>
                <w:szCs w:val="18"/>
              </w:rPr>
              <w:t>5.要求行政机关确认或重新出具已获取信息</w:t>
            </w:r>
          </w:p>
        </w:tc>
        <w:tc>
          <w:tcPr>
            <w:tcW w:w="5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7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pPr>
          </w:p>
        </w:tc>
        <w:tc>
          <w:tcPr>
            <w:tcW w:w="75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sz w:val="18"/>
                <w:szCs w:val="18"/>
              </w:rPr>
              <w:t>（六）其他处理</w:t>
            </w:r>
          </w:p>
        </w:tc>
        <w:tc>
          <w:tcPr>
            <w:tcW w:w="27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rPr>
                <w:sz w:val="18"/>
                <w:szCs w:val="18"/>
              </w:rPr>
            </w:pPr>
            <w:r>
              <w:rPr>
                <w:sz w:val="18"/>
                <w:szCs w:val="18"/>
              </w:rPr>
              <w:t>1.申请人无正当理由逾期不补正、行政机关不再处理其政府信息公开申请</w:t>
            </w:r>
          </w:p>
        </w:tc>
        <w:tc>
          <w:tcPr>
            <w:tcW w:w="5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7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pPr>
          </w:p>
        </w:tc>
        <w:tc>
          <w:tcPr>
            <w:tcW w:w="753"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pPr>
          </w:p>
        </w:tc>
        <w:tc>
          <w:tcPr>
            <w:tcW w:w="27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rPr>
                <w:sz w:val="18"/>
                <w:szCs w:val="18"/>
              </w:rPr>
            </w:pPr>
            <w:r>
              <w:rPr>
                <w:sz w:val="18"/>
                <w:szCs w:val="18"/>
              </w:rPr>
              <w:t>2.申请人逾期未按收费通知要求缴纳费用、行政机关不再处理其政府信息公开申请</w:t>
            </w:r>
          </w:p>
        </w:tc>
        <w:tc>
          <w:tcPr>
            <w:tcW w:w="5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7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pPr>
          </w:p>
        </w:tc>
        <w:tc>
          <w:tcPr>
            <w:tcW w:w="753"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pPr>
          </w:p>
        </w:tc>
        <w:tc>
          <w:tcPr>
            <w:tcW w:w="27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rPr>
                <w:sz w:val="18"/>
                <w:szCs w:val="18"/>
              </w:rPr>
            </w:pPr>
            <w:r>
              <w:rPr>
                <w:sz w:val="18"/>
                <w:szCs w:val="18"/>
              </w:rPr>
              <w:t>3.其他</w:t>
            </w:r>
          </w:p>
        </w:tc>
        <w:tc>
          <w:tcPr>
            <w:tcW w:w="5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7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textAlignment w:val="auto"/>
            </w:pPr>
          </w:p>
        </w:tc>
        <w:tc>
          <w:tcPr>
            <w:tcW w:w="351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rPr>
                <w:sz w:val="18"/>
                <w:szCs w:val="18"/>
              </w:rPr>
            </w:pPr>
            <w:r>
              <w:rPr>
                <w:sz w:val="18"/>
                <w:szCs w:val="18"/>
              </w:rPr>
              <w:t>（七）总计</w:t>
            </w:r>
          </w:p>
        </w:tc>
        <w:tc>
          <w:tcPr>
            <w:tcW w:w="5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7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24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rPr>
                <w:sz w:val="18"/>
                <w:szCs w:val="18"/>
              </w:rPr>
            </w:pPr>
            <w:r>
              <w:rPr>
                <w:sz w:val="18"/>
                <w:szCs w:val="18"/>
              </w:rPr>
              <w:t>四、结转下年度继续办理</w:t>
            </w:r>
          </w:p>
        </w:tc>
        <w:tc>
          <w:tcPr>
            <w:tcW w:w="5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6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7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c>
          <w:tcPr>
            <w:tcW w:w="8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pPr>
            <w:r>
              <w:rPr>
                <w:rFonts w:hint="eastAsia"/>
                <w:lang w:val="en-US" w:eastAsia="zh-CN"/>
              </w:rPr>
              <w:t>0</w:t>
            </w:r>
          </w:p>
        </w:tc>
      </w:tr>
    </w:tbl>
    <w:p>
      <w:pPr>
        <w:keepNext w:val="0"/>
        <w:keepLines w:val="0"/>
        <w:pageBreakBefore w:val="0"/>
        <w:kinsoku/>
        <w:wordWrap/>
        <w:overflowPunct/>
        <w:topLinePunct w:val="0"/>
        <w:autoSpaceDE/>
        <w:autoSpaceDN/>
        <w:bidi w:val="0"/>
        <w:adjustRightInd/>
        <w:snapToGrid/>
        <w:spacing w:line="577" w:lineRule="exact"/>
        <w:ind w:firstLine="482" w:firstLineChars="200"/>
        <w:textAlignment w:val="auto"/>
        <w:rPr>
          <w:rFonts w:hint="eastAsia" w:ascii="宋体" w:hAnsi="宋体" w:eastAsia="宋体" w:cs="宋体"/>
          <w:b/>
          <w:bCs/>
          <w:sz w:val="24"/>
          <w:szCs w:val="24"/>
        </w:rPr>
      </w:pPr>
    </w:p>
    <w:p>
      <w:pPr>
        <w:keepNext w:val="0"/>
        <w:keepLines w:val="0"/>
        <w:pageBreakBefore w:val="0"/>
        <w:numPr>
          <w:ilvl w:val="0"/>
          <w:numId w:val="1"/>
        </w:numPr>
        <w:kinsoku/>
        <w:wordWrap/>
        <w:overflowPunct/>
        <w:topLinePunct w:val="0"/>
        <w:autoSpaceDE/>
        <w:autoSpaceDN/>
        <w:bidi w:val="0"/>
        <w:adjustRightInd/>
        <w:snapToGrid/>
        <w:spacing w:line="577" w:lineRule="exact"/>
        <w:ind w:left="0"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政府</w:t>
      </w:r>
      <w:bookmarkStart w:id="0" w:name="_GoBack"/>
      <w:bookmarkEnd w:id="0"/>
      <w:r>
        <w:rPr>
          <w:rFonts w:hint="eastAsia" w:ascii="宋体" w:hAnsi="宋体" w:eastAsia="宋体" w:cs="宋体"/>
          <w:b/>
          <w:bCs/>
          <w:sz w:val="24"/>
          <w:szCs w:val="24"/>
        </w:rPr>
        <w:t>信息公开行政复议、行政诉讼情况</w:t>
      </w:r>
    </w:p>
    <w:p>
      <w:pPr>
        <w:keepNext w:val="0"/>
        <w:keepLines w:val="0"/>
        <w:pageBreakBefore w:val="0"/>
        <w:numPr>
          <w:numId w:val="0"/>
        </w:numPr>
        <w:kinsoku/>
        <w:wordWrap/>
        <w:overflowPunct/>
        <w:topLinePunct w:val="0"/>
        <w:autoSpaceDE/>
        <w:autoSpaceDN/>
        <w:bidi w:val="0"/>
        <w:adjustRightInd/>
        <w:snapToGrid/>
        <w:spacing w:line="577" w:lineRule="exact"/>
        <w:ind w:leftChars="200"/>
        <w:textAlignment w:val="auto"/>
        <w:rPr>
          <w:rFonts w:hint="eastAsia" w:ascii="宋体" w:hAnsi="宋体" w:eastAsia="宋体" w:cs="宋体"/>
          <w:b/>
          <w:bCs/>
          <w:sz w:val="24"/>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3"/>
        <w:gridCol w:w="653"/>
        <w:gridCol w:w="653"/>
        <w:gridCol w:w="653"/>
        <w:gridCol w:w="482"/>
        <w:gridCol w:w="653"/>
        <w:gridCol w:w="653"/>
        <w:gridCol w:w="653"/>
        <w:gridCol w:w="653"/>
        <w:gridCol w:w="482"/>
        <w:gridCol w:w="654"/>
        <w:gridCol w:w="654"/>
        <w:gridCol w:w="654"/>
        <w:gridCol w:w="654"/>
        <w:gridCol w:w="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sz w:val="18"/>
                <w:szCs w:val="18"/>
              </w:rPr>
              <w:t>行政复议</w:t>
            </w:r>
          </w:p>
        </w:tc>
        <w:tc>
          <w:tcPr>
            <w:tcW w:w="0" w:type="auto"/>
            <w:gridSpan w:val="10"/>
            <w:tcBorders>
              <w:lef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sz w:val="18"/>
                <w:szCs w:val="1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Borders>
              <w:bottom w:val="nil"/>
            </w:tcBorders>
            <w:noWrap w:val="0"/>
            <w:vAlign w:val="center"/>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sz w:val="18"/>
                <w:szCs w:val="18"/>
              </w:rPr>
              <w:t>结果维持</w:t>
            </w:r>
          </w:p>
        </w:tc>
        <w:tc>
          <w:tcPr>
            <w:tcW w:w="0" w:type="auto"/>
            <w:vMerge w:val="restart"/>
            <w:tcBorders>
              <w:bottom w:val="nil"/>
            </w:tcBorders>
            <w:noWrap w:val="0"/>
            <w:vAlign w:val="center"/>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sz w:val="18"/>
                <w:szCs w:val="18"/>
              </w:rPr>
              <w:t>结果纠正</w:t>
            </w:r>
          </w:p>
        </w:tc>
        <w:tc>
          <w:tcPr>
            <w:tcW w:w="0" w:type="auto"/>
            <w:vMerge w:val="restart"/>
            <w:tcBorders>
              <w:bottom w:val="nil"/>
            </w:tcBorders>
            <w:noWrap w:val="0"/>
            <w:vAlign w:val="center"/>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sz w:val="18"/>
                <w:szCs w:val="18"/>
              </w:rPr>
              <w:t>其他结果</w:t>
            </w:r>
          </w:p>
        </w:tc>
        <w:tc>
          <w:tcPr>
            <w:tcW w:w="0" w:type="auto"/>
            <w:vMerge w:val="restart"/>
            <w:tcBorders>
              <w:bottom w:val="nil"/>
            </w:tcBorders>
            <w:noWrap w:val="0"/>
            <w:vAlign w:val="center"/>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sz w:val="18"/>
                <w:szCs w:val="18"/>
              </w:rPr>
              <w:t>尚未审结</w:t>
            </w:r>
          </w:p>
        </w:tc>
        <w:tc>
          <w:tcPr>
            <w:tcW w:w="0" w:type="auto"/>
            <w:vMerge w:val="restart"/>
            <w:tcBorders>
              <w:bottom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sz w:val="18"/>
                <w:szCs w:val="18"/>
              </w:rPr>
              <w:t>总计</w:t>
            </w:r>
          </w:p>
        </w:tc>
        <w:tc>
          <w:tcPr>
            <w:tcW w:w="0" w:type="auto"/>
            <w:gridSpan w:val="5"/>
            <w:tcBorders>
              <w:lef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sz w:val="18"/>
                <w:szCs w:val="18"/>
              </w:rPr>
              <w:t>未经复议直接起诉</w:t>
            </w:r>
          </w:p>
        </w:tc>
        <w:tc>
          <w:tcPr>
            <w:tcW w:w="0" w:type="auto"/>
            <w:gridSpan w:val="5"/>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sz w:val="18"/>
                <w:szCs w:val="18"/>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noWrap w:val="0"/>
            <w:vAlign w:val="top"/>
          </w:tcPr>
          <w:p>
            <w:pPr>
              <w:keepNext w:val="0"/>
              <w:keepLines w:val="0"/>
              <w:pageBreakBefore w:val="0"/>
              <w:kinsoku/>
              <w:wordWrap/>
              <w:overflowPunct/>
              <w:topLinePunct w:val="0"/>
              <w:autoSpaceDE/>
              <w:autoSpaceDN/>
              <w:bidi w:val="0"/>
              <w:adjustRightInd/>
              <w:snapToGrid/>
              <w:spacing w:line="577" w:lineRule="exact"/>
              <w:textAlignment w:val="auto"/>
            </w:pPr>
          </w:p>
        </w:tc>
        <w:tc>
          <w:tcPr>
            <w:tcW w:w="0" w:type="auto"/>
            <w:vMerge w:val="continue"/>
            <w:noWrap w:val="0"/>
            <w:vAlign w:val="top"/>
          </w:tcPr>
          <w:p>
            <w:pPr>
              <w:keepNext w:val="0"/>
              <w:keepLines w:val="0"/>
              <w:pageBreakBefore w:val="0"/>
              <w:kinsoku/>
              <w:wordWrap/>
              <w:overflowPunct/>
              <w:topLinePunct w:val="0"/>
              <w:autoSpaceDE/>
              <w:autoSpaceDN/>
              <w:bidi w:val="0"/>
              <w:adjustRightInd/>
              <w:snapToGrid/>
              <w:spacing w:line="577" w:lineRule="exact"/>
              <w:textAlignment w:val="auto"/>
            </w:pPr>
          </w:p>
        </w:tc>
        <w:tc>
          <w:tcPr>
            <w:tcW w:w="0" w:type="auto"/>
            <w:vMerge w:val="continue"/>
            <w:noWrap w:val="0"/>
            <w:vAlign w:val="top"/>
          </w:tcPr>
          <w:p>
            <w:pPr>
              <w:keepNext w:val="0"/>
              <w:keepLines w:val="0"/>
              <w:pageBreakBefore w:val="0"/>
              <w:kinsoku/>
              <w:wordWrap/>
              <w:overflowPunct/>
              <w:topLinePunct w:val="0"/>
              <w:autoSpaceDE/>
              <w:autoSpaceDN/>
              <w:bidi w:val="0"/>
              <w:adjustRightInd/>
              <w:snapToGrid/>
              <w:spacing w:line="577" w:lineRule="exact"/>
              <w:textAlignment w:val="auto"/>
            </w:pPr>
          </w:p>
        </w:tc>
        <w:tc>
          <w:tcPr>
            <w:tcW w:w="0" w:type="auto"/>
            <w:vMerge w:val="continue"/>
            <w:noWrap w:val="0"/>
            <w:vAlign w:val="top"/>
          </w:tcPr>
          <w:p>
            <w:pPr>
              <w:keepNext w:val="0"/>
              <w:keepLines w:val="0"/>
              <w:pageBreakBefore w:val="0"/>
              <w:kinsoku/>
              <w:wordWrap/>
              <w:overflowPunct/>
              <w:topLinePunct w:val="0"/>
              <w:autoSpaceDE/>
              <w:autoSpaceDN/>
              <w:bidi w:val="0"/>
              <w:adjustRightInd/>
              <w:snapToGrid/>
              <w:spacing w:line="577" w:lineRule="exact"/>
              <w:textAlignment w:val="auto"/>
            </w:pPr>
          </w:p>
        </w:tc>
        <w:tc>
          <w:tcPr>
            <w:tcW w:w="0" w:type="auto"/>
            <w:vMerge w:val="continue"/>
            <w:tcBorders>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77" w:lineRule="exact"/>
              <w:textAlignment w:val="auto"/>
            </w:pPr>
          </w:p>
        </w:tc>
        <w:tc>
          <w:tcPr>
            <w:tcW w:w="0" w:type="auto"/>
            <w:noWrap w:val="0"/>
            <w:vAlign w:val="top"/>
          </w:tcPr>
          <w:p>
            <w:pPr>
              <w:keepNext w:val="0"/>
              <w:keepLines w:val="0"/>
              <w:pageBreakBefore w:val="0"/>
              <w:kinsoku/>
              <w:wordWrap/>
              <w:overflowPunct/>
              <w:topLinePunct w:val="0"/>
              <w:autoSpaceDE/>
              <w:autoSpaceDN/>
              <w:bidi w:val="0"/>
              <w:adjustRightInd/>
              <w:snapToGrid/>
              <w:spacing w:line="577" w:lineRule="exact"/>
              <w:textAlignment w:val="auto"/>
              <w:rPr>
                <w:sz w:val="18"/>
                <w:szCs w:val="18"/>
              </w:rPr>
            </w:pPr>
            <w:r>
              <w:rPr>
                <w:sz w:val="18"/>
                <w:szCs w:val="18"/>
              </w:rPr>
              <w:t>结果维持</w:t>
            </w:r>
          </w:p>
        </w:tc>
        <w:tc>
          <w:tcPr>
            <w:tcW w:w="0" w:type="auto"/>
            <w:noWrap w:val="0"/>
            <w:vAlign w:val="top"/>
          </w:tcPr>
          <w:p>
            <w:pPr>
              <w:keepNext w:val="0"/>
              <w:keepLines w:val="0"/>
              <w:pageBreakBefore w:val="0"/>
              <w:kinsoku/>
              <w:wordWrap/>
              <w:overflowPunct/>
              <w:topLinePunct w:val="0"/>
              <w:autoSpaceDE/>
              <w:autoSpaceDN/>
              <w:bidi w:val="0"/>
              <w:adjustRightInd/>
              <w:snapToGrid/>
              <w:spacing w:line="577" w:lineRule="exact"/>
              <w:textAlignment w:val="auto"/>
              <w:rPr>
                <w:sz w:val="18"/>
                <w:szCs w:val="18"/>
              </w:rPr>
            </w:pPr>
            <w:r>
              <w:rPr>
                <w:sz w:val="18"/>
                <w:szCs w:val="18"/>
              </w:rPr>
              <w:t>结果纠正</w:t>
            </w:r>
          </w:p>
        </w:tc>
        <w:tc>
          <w:tcPr>
            <w:tcW w:w="0" w:type="auto"/>
            <w:noWrap w:val="0"/>
            <w:vAlign w:val="top"/>
          </w:tcPr>
          <w:p>
            <w:pPr>
              <w:keepNext w:val="0"/>
              <w:keepLines w:val="0"/>
              <w:pageBreakBefore w:val="0"/>
              <w:kinsoku/>
              <w:wordWrap/>
              <w:overflowPunct/>
              <w:topLinePunct w:val="0"/>
              <w:autoSpaceDE/>
              <w:autoSpaceDN/>
              <w:bidi w:val="0"/>
              <w:adjustRightInd/>
              <w:snapToGrid/>
              <w:spacing w:line="577" w:lineRule="exact"/>
              <w:textAlignment w:val="auto"/>
              <w:rPr>
                <w:sz w:val="18"/>
                <w:szCs w:val="18"/>
              </w:rPr>
            </w:pPr>
            <w:r>
              <w:rPr>
                <w:sz w:val="18"/>
                <w:szCs w:val="18"/>
              </w:rPr>
              <w:t>其他结果</w:t>
            </w:r>
          </w:p>
        </w:tc>
        <w:tc>
          <w:tcPr>
            <w:tcW w:w="0" w:type="auto"/>
            <w:noWrap w:val="0"/>
            <w:vAlign w:val="top"/>
          </w:tcPr>
          <w:p>
            <w:pPr>
              <w:keepNext w:val="0"/>
              <w:keepLines w:val="0"/>
              <w:pageBreakBefore w:val="0"/>
              <w:kinsoku/>
              <w:wordWrap/>
              <w:overflowPunct/>
              <w:topLinePunct w:val="0"/>
              <w:autoSpaceDE/>
              <w:autoSpaceDN/>
              <w:bidi w:val="0"/>
              <w:adjustRightInd/>
              <w:snapToGrid/>
              <w:spacing w:line="577" w:lineRule="exact"/>
              <w:textAlignment w:val="auto"/>
              <w:rPr>
                <w:sz w:val="18"/>
                <w:szCs w:val="18"/>
              </w:rPr>
            </w:pPr>
            <w:r>
              <w:rPr>
                <w:sz w:val="18"/>
                <w:szCs w:val="18"/>
              </w:rPr>
              <w:t>尚未审结</w:t>
            </w:r>
          </w:p>
        </w:tc>
        <w:tc>
          <w:tcPr>
            <w:tcW w:w="0" w:type="auto"/>
            <w:noWrap w:val="0"/>
            <w:vAlign w:val="top"/>
          </w:tcPr>
          <w:p>
            <w:pPr>
              <w:keepNext w:val="0"/>
              <w:keepLines w:val="0"/>
              <w:pageBreakBefore w:val="0"/>
              <w:kinsoku/>
              <w:wordWrap/>
              <w:overflowPunct/>
              <w:topLinePunct w:val="0"/>
              <w:autoSpaceDE/>
              <w:autoSpaceDN/>
              <w:bidi w:val="0"/>
              <w:adjustRightInd/>
              <w:snapToGrid/>
              <w:spacing w:line="577" w:lineRule="exact"/>
              <w:textAlignment w:val="auto"/>
              <w:rPr>
                <w:sz w:val="18"/>
                <w:szCs w:val="18"/>
              </w:rPr>
            </w:pPr>
            <w:r>
              <w:rPr>
                <w:sz w:val="18"/>
                <w:szCs w:val="18"/>
              </w:rPr>
              <w:t>总计</w:t>
            </w:r>
          </w:p>
        </w:tc>
        <w:tc>
          <w:tcPr>
            <w:tcW w:w="0" w:type="auto"/>
            <w:noWrap w:val="0"/>
            <w:vAlign w:val="top"/>
          </w:tcPr>
          <w:p>
            <w:pPr>
              <w:keepNext w:val="0"/>
              <w:keepLines w:val="0"/>
              <w:pageBreakBefore w:val="0"/>
              <w:kinsoku/>
              <w:wordWrap/>
              <w:overflowPunct/>
              <w:topLinePunct w:val="0"/>
              <w:autoSpaceDE/>
              <w:autoSpaceDN/>
              <w:bidi w:val="0"/>
              <w:adjustRightInd/>
              <w:snapToGrid/>
              <w:spacing w:line="577" w:lineRule="exact"/>
              <w:textAlignment w:val="auto"/>
              <w:rPr>
                <w:sz w:val="18"/>
                <w:szCs w:val="18"/>
              </w:rPr>
            </w:pPr>
            <w:r>
              <w:rPr>
                <w:sz w:val="18"/>
                <w:szCs w:val="18"/>
              </w:rPr>
              <w:t>结果维持</w:t>
            </w:r>
          </w:p>
        </w:tc>
        <w:tc>
          <w:tcPr>
            <w:tcW w:w="0" w:type="auto"/>
            <w:noWrap w:val="0"/>
            <w:vAlign w:val="top"/>
          </w:tcPr>
          <w:p>
            <w:pPr>
              <w:keepNext w:val="0"/>
              <w:keepLines w:val="0"/>
              <w:pageBreakBefore w:val="0"/>
              <w:kinsoku/>
              <w:wordWrap/>
              <w:overflowPunct/>
              <w:topLinePunct w:val="0"/>
              <w:autoSpaceDE/>
              <w:autoSpaceDN/>
              <w:bidi w:val="0"/>
              <w:adjustRightInd/>
              <w:snapToGrid/>
              <w:spacing w:line="577" w:lineRule="exact"/>
              <w:textAlignment w:val="auto"/>
              <w:rPr>
                <w:sz w:val="18"/>
                <w:szCs w:val="18"/>
              </w:rPr>
            </w:pPr>
            <w:r>
              <w:rPr>
                <w:sz w:val="18"/>
                <w:szCs w:val="18"/>
              </w:rPr>
              <w:t>结果纠正</w:t>
            </w:r>
          </w:p>
        </w:tc>
        <w:tc>
          <w:tcPr>
            <w:tcW w:w="0" w:type="auto"/>
            <w:noWrap w:val="0"/>
            <w:vAlign w:val="top"/>
          </w:tcPr>
          <w:p>
            <w:pPr>
              <w:keepNext w:val="0"/>
              <w:keepLines w:val="0"/>
              <w:pageBreakBefore w:val="0"/>
              <w:kinsoku/>
              <w:wordWrap/>
              <w:overflowPunct/>
              <w:topLinePunct w:val="0"/>
              <w:autoSpaceDE/>
              <w:autoSpaceDN/>
              <w:bidi w:val="0"/>
              <w:adjustRightInd/>
              <w:snapToGrid/>
              <w:spacing w:line="577" w:lineRule="exact"/>
              <w:textAlignment w:val="auto"/>
              <w:rPr>
                <w:sz w:val="18"/>
                <w:szCs w:val="18"/>
              </w:rPr>
            </w:pPr>
            <w:r>
              <w:rPr>
                <w:sz w:val="18"/>
                <w:szCs w:val="18"/>
              </w:rPr>
              <w:t>其他结果</w:t>
            </w:r>
          </w:p>
        </w:tc>
        <w:tc>
          <w:tcPr>
            <w:tcW w:w="0" w:type="auto"/>
            <w:noWrap w:val="0"/>
            <w:vAlign w:val="top"/>
          </w:tcPr>
          <w:p>
            <w:pPr>
              <w:keepNext w:val="0"/>
              <w:keepLines w:val="0"/>
              <w:pageBreakBefore w:val="0"/>
              <w:kinsoku/>
              <w:wordWrap/>
              <w:overflowPunct/>
              <w:topLinePunct w:val="0"/>
              <w:autoSpaceDE/>
              <w:autoSpaceDN/>
              <w:bidi w:val="0"/>
              <w:adjustRightInd/>
              <w:snapToGrid/>
              <w:spacing w:line="577" w:lineRule="exact"/>
              <w:textAlignment w:val="auto"/>
              <w:rPr>
                <w:sz w:val="18"/>
                <w:szCs w:val="18"/>
              </w:rPr>
            </w:pPr>
            <w:r>
              <w:rPr>
                <w:sz w:val="18"/>
                <w:szCs w:val="18"/>
              </w:rPr>
              <w:t>尚未审结</w:t>
            </w:r>
          </w:p>
        </w:tc>
        <w:tc>
          <w:tcPr>
            <w:tcW w:w="0" w:type="auto"/>
            <w:noWrap w:val="0"/>
            <w:vAlign w:val="top"/>
          </w:tcPr>
          <w:p>
            <w:pPr>
              <w:keepNext w:val="0"/>
              <w:keepLines w:val="0"/>
              <w:pageBreakBefore w:val="0"/>
              <w:kinsoku/>
              <w:wordWrap/>
              <w:overflowPunct/>
              <w:topLinePunct w:val="0"/>
              <w:autoSpaceDE/>
              <w:autoSpaceDN/>
              <w:bidi w:val="0"/>
              <w:adjustRightInd/>
              <w:snapToGrid/>
              <w:spacing w:line="577" w:lineRule="exact"/>
              <w:textAlignment w:val="auto"/>
              <w:rPr>
                <w:sz w:val="18"/>
                <w:szCs w:val="18"/>
              </w:rPr>
            </w:pPr>
            <w:r>
              <w:rPr>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53" w:type="dxa"/>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rFonts w:hint="eastAsia"/>
                <w:lang w:val="en-US" w:eastAsia="zh-CN"/>
              </w:rPr>
              <w:t>0</w:t>
            </w:r>
          </w:p>
        </w:tc>
        <w:tc>
          <w:tcPr>
            <w:tcW w:w="653" w:type="dxa"/>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rFonts w:hint="eastAsia"/>
                <w:lang w:val="en-US" w:eastAsia="zh-CN"/>
              </w:rPr>
              <w:t>0</w:t>
            </w:r>
          </w:p>
        </w:tc>
        <w:tc>
          <w:tcPr>
            <w:tcW w:w="653" w:type="dxa"/>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rFonts w:hint="eastAsia"/>
                <w:lang w:val="en-US" w:eastAsia="zh-CN"/>
              </w:rPr>
              <w:t>0</w:t>
            </w:r>
          </w:p>
        </w:tc>
        <w:tc>
          <w:tcPr>
            <w:tcW w:w="653" w:type="dxa"/>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rFonts w:hint="eastAsia"/>
                <w:lang w:val="en-US" w:eastAsia="zh-CN"/>
              </w:rPr>
              <w:t>0</w:t>
            </w:r>
          </w:p>
        </w:tc>
        <w:tc>
          <w:tcPr>
            <w:tcW w:w="482" w:type="dxa"/>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rFonts w:hint="eastAsia"/>
                <w:lang w:val="en-US" w:eastAsia="zh-CN"/>
              </w:rPr>
              <w:t>0</w:t>
            </w:r>
          </w:p>
        </w:tc>
        <w:tc>
          <w:tcPr>
            <w:tcW w:w="653" w:type="dxa"/>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rFonts w:hint="eastAsia"/>
                <w:lang w:val="en-US" w:eastAsia="zh-CN"/>
              </w:rPr>
              <w:t>0</w:t>
            </w:r>
          </w:p>
        </w:tc>
        <w:tc>
          <w:tcPr>
            <w:tcW w:w="653" w:type="dxa"/>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rFonts w:hint="eastAsia"/>
                <w:lang w:val="en-US" w:eastAsia="zh-CN"/>
              </w:rPr>
              <w:t>0</w:t>
            </w:r>
          </w:p>
        </w:tc>
        <w:tc>
          <w:tcPr>
            <w:tcW w:w="653" w:type="dxa"/>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rFonts w:hint="eastAsia"/>
                <w:lang w:val="en-US" w:eastAsia="zh-CN"/>
              </w:rPr>
              <w:t>0</w:t>
            </w:r>
          </w:p>
        </w:tc>
        <w:tc>
          <w:tcPr>
            <w:tcW w:w="653" w:type="dxa"/>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rFonts w:hint="eastAsia"/>
                <w:lang w:val="en-US" w:eastAsia="zh-CN"/>
              </w:rPr>
              <w:t>0</w:t>
            </w:r>
          </w:p>
        </w:tc>
        <w:tc>
          <w:tcPr>
            <w:tcW w:w="482" w:type="dxa"/>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rFonts w:hint="eastAsia"/>
                <w:lang w:val="en-US" w:eastAsia="zh-CN"/>
              </w:rPr>
              <w:t>0</w:t>
            </w:r>
          </w:p>
        </w:tc>
        <w:tc>
          <w:tcPr>
            <w:tcW w:w="654" w:type="dxa"/>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rFonts w:hint="eastAsia"/>
                <w:lang w:val="en-US" w:eastAsia="zh-CN"/>
              </w:rPr>
              <w:t>0</w:t>
            </w:r>
          </w:p>
        </w:tc>
        <w:tc>
          <w:tcPr>
            <w:tcW w:w="654" w:type="dxa"/>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rFonts w:hint="eastAsia"/>
                <w:lang w:val="en-US" w:eastAsia="zh-CN"/>
              </w:rPr>
              <w:t>0</w:t>
            </w:r>
          </w:p>
        </w:tc>
        <w:tc>
          <w:tcPr>
            <w:tcW w:w="654" w:type="dxa"/>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rFonts w:hint="eastAsia"/>
                <w:lang w:val="en-US" w:eastAsia="zh-CN"/>
              </w:rPr>
              <w:t>0</w:t>
            </w:r>
          </w:p>
        </w:tc>
        <w:tc>
          <w:tcPr>
            <w:tcW w:w="654" w:type="dxa"/>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rFonts w:hint="eastAsia"/>
                <w:lang w:val="en-US" w:eastAsia="zh-CN"/>
              </w:rPr>
              <w:t>0</w:t>
            </w:r>
          </w:p>
        </w:tc>
        <w:tc>
          <w:tcPr>
            <w:tcW w:w="483" w:type="dxa"/>
            <w:noWrap w:val="0"/>
            <w:vAlign w:val="top"/>
          </w:tcPr>
          <w:p>
            <w:pPr>
              <w:keepNext w:val="0"/>
              <w:keepLines w:val="0"/>
              <w:pageBreakBefore w:val="0"/>
              <w:kinsoku/>
              <w:wordWrap/>
              <w:overflowPunct/>
              <w:topLinePunct w:val="0"/>
              <w:autoSpaceDE/>
              <w:autoSpaceDN/>
              <w:bidi w:val="0"/>
              <w:adjustRightInd/>
              <w:snapToGrid/>
              <w:spacing w:line="577" w:lineRule="exact"/>
              <w:jc w:val="center"/>
              <w:textAlignment w:val="auto"/>
              <w:rPr>
                <w:sz w:val="18"/>
                <w:szCs w:val="18"/>
              </w:rPr>
            </w:pPr>
            <w:r>
              <w:rPr>
                <w:rFonts w:hint="eastAsia"/>
                <w:lang w:val="en-US" w:eastAsia="zh-CN"/>
              </w:rPr>
              <w:t>0</w:t>
            </w:r>
          </w:p>
        </w:tc>
      </w:tr>
    </w:tbl>
    <w:p>
      <w:pPr>
        <w:keepNext w:val="0"/>
        <w:keepLines w:val="0"/>
        <w:pageBreakBefore w:val="0"/>
        <w:kinsoku/>
        <w:wordWrap/>
        <w:overflowPunct/>
        <w:topLinePunct w:val="0"/>
        <w:autoSpaceDE/>
        <w:autoSpaceDN/>
        <w:bidi w:val="0"/>
        <w:adjustRightInd/>
        <w:snapToGrid/>
        <w:spacing w:line="577" w:lineRule="exact"/>
        <w:textAlignment w:val="auto"/>
      </w:pPr>
    </w:p>
    <w:p>
      <w:pPr>
        <w:keepNext w:val="0"/>
        <w:keepLines w:val="0"/>
        <w:pageBreakBefore w:val="0"/>
        <w:numPr>
          <w:ilvl w:val="0"/>
          <w:numId w:val="0"/>
        </w:numPr>
        <w:kinsoku/>
        <w:wordWrap/>
        <w:overflowPunct/>
        <w:topLinePunct w:val="0"/>
        <w:autoSpaceDE/>
        <w:autoSpaceDN/>
        <w:bidi w:val="0"/>
        <w:adjustRightInd/>
        <w:snapToGrid/>
        <w:spacing w:line="577"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五、存在的主要问题及改进情况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7" w:lineRule="exact"/>
        <w:ind w:left="0" w:right="0" w:firstLine="480"/>
        <w:jc w:val="both"/>
        <w:textAlignment w:val="auto"/>
        <w:rPr>
          <w:rFonts w:hint="eastAsia" w:ascii="宋体" w:hAnsi="宋体" w:cs="宋体"/>
          <w:i w:val="0"/>
          <w:iCs w:val="0"/>
          <w:caps w:val="0"/>
          <w:color w:val="000000"/>
          <w:spacing w:val="0"/>
          <w:kern w:val="0"/>
          <w:sz w:val="24"/>
          <w:szCs w:val="24"/>
          <w:shd w:val="clear" w:fill="FFFFFF"/>
          <w:lang w:val="en-US" w:eastAsia="zh-CN" w:bidi="ar"/>
        </w:rPr>
      </w:pPr>
      <w:r>
        <w:rPr>
          <w:rFonts w:hint="eastAsia" w:ascii="宋体" w:hAnsi="宋体" w:eastAsia="宋体" w:cs="宋体"/>
          <w:i w:val="0"/>
          <w:iCs w:val="0"/>
          <w:caps w:val="0"/>
          <w:color w:val="000000"/>
          <w:spacing w:val="0"/>
          <w:sz w:val="24"/>
          <w:szCs w:val="24"/>
          <w:shd w:val="clear" w:fill="FFFFFF"/>
        </w:rPr>
        <w:t>202</w:t>
      </w:r>
      <w:r>
        <w:rPr>
          <w:rFonts w:hint="eastAsia" w:ascii="宋体" w:hAnsi="宋体" w:cs="宋体"/>
          <w:i w:val="0"/>
          <w:iCs w:val="0"/>
          <w:caps w:val="0"/>
          <w:color w:val="000000"/>
          <w:spacing w:val="0"/>
          <w:sz w:val="24"/>
          <w:szCs w:val="24"/>
          <w:shd w:val="clear" w:fill="FFFFFF"/>
          <w:lang w:val="en-US" w:eastAsia="zh-CN"/>
        </w:rPr>
        <w:t>1</w:t>
      </w:r>
      <w:r>
        <w:rPr>
          <w:rFonts w:hint="eastAsia" w:ascii="宋体" w:hAnsi="宋体" w:eastAsia="宋体" w:cs="宋体"/>
          <w:i w:val="0"/>
          <w:iCs w:val="0"/>
          <w:caps w:val="0"/>
          <w:color w:val="000000"/>
          <w:spacing w:val="0"/>
          <w:sz w:val="24"/>
          <w:szCs w:val="24"/>
          <w:shd w:val="clear" w:fill="FFFFFF"/>
        </w:rPr>
        <w:t>年，我局在政府信息公开上取得了一定</w:t>
      </w:r>
      <w:r>
        <w:rPr>
          <w:rFonts w:hint="eastAsia" w:ascii="宋体" w:hAnsi="宋体" w:cs="宋体"/>
          <w:i w:val="0"/>
          <w:iCs w:val="0"/>
          <w:caps w:val="0"/>
          <w:color w:val="000000"/>
          <w:spacing w:val="0"/>
          <w:sz w:val="24"/>
          <w:szCs w:val="24"/>
          <w:shd w:val="clear" w:fill="FFFFFF"/>
          <w:lang w:eastAsia="zh-CN"/>
        </w:rPr>
        <w:t>进步</w:t>
      </w:r>
      <w:r>
        <w:rPr>
          <w:rFonts w:hint="eastAsia" w:ascii="宋体" w:hAnsi="宋体" w:eastAsia="宋体" w:cs="宋体"/>
          <w:i w:val="0"/>
          <w:iCs w:val="0"/>
          <w:caps w:val="0"/>
          <w:color w:val="000000"/>
          <w:spacing w:val="0"/>
          <w:sz w:val="24"/>
          <w:szCs w:val="24"/>
          <w:shd w:val="clear" w:fill="FFFFFF"/>
        </w:rPr>
        <w:t>，但仍存在问题与不足，主要体现在主动公开的审计结果公告数量较少</w:t>
      </w:r>
      <w:r>
        <w:rPr>
          <w:rFonts w:hint="eastAsia" w:ascii="宋体" w:hAnsi="宋体" w:cs="宋体"/>
          <w:i w:val="0"/>
          <w:iCs w:val="0"/>
          <w:caps w:val="0"/>
          <w:color w:val="000000"/>
          <w:spacing w:val="0"/>
          <w:sz w:val="24"/>
          <w:szCs w:val="24"/>
          <w:shd w:val="clear" w:fill="FFFFFF"/>
          <w:lang w:eastAsia="zh-CN"/>
        </w:rPr>
        <w:t>，主要是因为</w:t>
      </w:r>
      <w:r>
        <w:rPr>
          <w:rFonts w:hint="eastAsia" w:ascii="宋体" w:hAnsi="宋体" w:eastAsia="宋体" w:cs="宋体"/>
          <w:i w:val="0"/>
          <w:iCs w:val="0"/>
          <w:caps w:val="0"/>
          <w:color w:val="000000"/>
          <w:spacing w:val="0"/>
          <w:kern w:val="0"/>
          <w:sz w:val="24"/>
          <w:szCs w:val="24"/>
          <w:shd w:val="clear" w:fill="FFFFFF"/>
          <w:lang w:val="en-US" w:eastAsia="zh-CN" w:bidi="ar"/>
        </w:rPr>
        <w:t>《中华人民共和国审计法》、《中华人民共和国保守国家秘密法》规定</w:t>
      </w:r>
      <w:r>
        <w:rPr>
          <w:rFonts w:hint="eastAsia" w:ascii="宋体" w:hAnsi="宋体" w:cs="宋体"/>
          <w:i w:val="0"/>
          <w:iCs w:val="0"/>
          <w:caps w:val="0"/>
          <w:color w:val="000000"/>
          <w:spacing w:val="0"/>
          <w:kern w:val="0"/>
          <w:sz w:val="24"/>
          <w:szCs w:val="24"/>
          <w:shd w:val="clear" w:fill="FFFFFF"/>
          <w:lang w:val="en-US" w:eastAsia="zh-CN" w:bidi="ar"/>
        </w:rPr>
        <w:t>审计业务有关事项</w:t>
      </w:r>
      <w:r>
        <w:rPr>
          <w:rFonts w:hint="eastAsia" w:ascii="宋体" w:hAnsi="宋体" w:eastAsia="宋体" w:cs="宋体"/>
          <w:i w:val="0"/>
          <w:iCs w:val="0"/>
          <w:caps w:val="0"/>
          <w:color w:val="000000"/>
          <w:spacing w:val="0"/>
          <w:kern w:val="0"/>
          <w:sz w:val="24"/>
          <w:szCs w:val="24"/>
          <w:shd w:val="clear" w:fill="FFFFFF"/>
          <w:lang w:val="en-US" w:eastAsia="zh-CN" w:bidi="ar"/>
        </w:rPr>
        <w:t>应当确定为工作秘密</w:t>
      </w:r>
      <w:r>
        <w:rPr>
          <w:rFonts w:hint="eastAsia" w:ascii="宋体" w:hAnsi="宋体" w:cs="宋体"/>
          <w:i w:val="0"/>
          <w:iCs w:val="0"/>
          <w:caps w:val="0"/>
          <w:color w:val="000000"/>
          <w:spacing w:val="0"/>
          <w:kern w:val="0"/>
          <w:sz w:val="24"/>
          <w:szCs w:val="24"/>
          <w:shd w:val="clear" w:fill="FFFFFF"/>
          <w:lang w:val="en-US" w:eastAsia="zh-CN" w:bidi="ar"/>
        </w:rPr>
        <w:t>，暂不能公布。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7" w:lineRule="exact"/>
        <w:ind w:left="0" w:right="0" w:firstLine="480"/>
        <w:jc w:val="both"/>
        <w:textAlignment w:val="auto"/>
        <w:rPr>
          <w:rFonts w:hint="eastAsia" w:ascii="仿宋_GB2312" w:eastAsia="仿宋_GB2312"/>
          <w:sz w:val="32"/>
          <w:szCs w:val="32"/>
        </w:rPr>
      </w:pPr>
      <w:r>
        <w:rPr>
          <w:rFonts w:hint="eastAsia" w:ascii="宋体" w:hAnsi="宋体" w:cs="宋体"/>
          <w:i w:val="0"/>
          <w:iCs w:val="0"/>
          <w:caps w:val="0"/>
          <w:color w:val="000000"/>
          <w:spacing w:val="0"/>
          <w:kern w:val="0"/>
          <w:sz w:val="24"/>
          <w:szCs w:val="24"/>
          <w:shd w:val="clear" w:fill="FFFFFF"/>
          <w:lang w:val="en-US" w:eastAsia="zh-CN" w:bidi="ar"/>
        </w:rPr>
        <w:t>针对存在的问题，我局将秉着“应公开、尽公开”的原则，在不违反</w:t>
      </w:r>
      <w:r>
        <w:rPr>
          <w:rFonts w:hint="eastAsia" w:ascii="宋体" w:hAnsi="宋体" w:eastAsia="宋体" w:cs="宋体"/>
          <w:i w:val="0"/>
          <w:iCs w:val="0"/>
          <w:caps w:val="0"/>
          <w:color w:val="000000"/>
          <w:spacing w:val="0"/>
          <w:kern w:val="0"/>
          <w:sz w:val="24"/>
          <w:szCs w:val="24"/>
          <w:shd w:val="clear" w:fill="FFFFFF"/>
          <w:lang w:val="en-US" w:eastAsia="zh-CN" w:bidi="ar"/>
        </w:rPr>
        <w:t>《中华人民共和国审计法》、《中华人民共和国保守国家秘密法》</w:t>
      </w:r>
      <w:r>
        <w:rPr>
          <w:rFonts w:hint="eastAsia" w:ascii="宋体" w:hAnsi="宋体" w:cs="宋体"/>
          <w:i w:val="0"/>
          <w:iCs w:val="0"/>
          <w:caps w:val="0"/>
          <w:color w:val="000000"/>
          <w:spacing w:val="0"/>
          <w:kern w:val="0"/>
          <w:sz w:val="24"/>
          <w:szCs w:val="24"/>
          <w:shd w:val="clear" w:fill="FFFFFF"/>
          <w:lang w:val="en-US" w:eastAsia="zh-CN" w:bidi="ar"/>
        </w:rPr>
        <w:t>前提下，严格落实</w:t>
      </w:r>
      <w:r>
        <w:rPr>
          <w:rFonts w:hint="eastAsia" w:ascii="宋体" w:hAnsi="宋体" w:eastAsia="宋体" w:cs="宋体"/>
          <w:i w:val="0"/>
          <w:iCs w:val="0"/>
          <w:caps w:val="0"/>
          <w:color w:val="000000"/>
          <w:spacing w:val="0"/>
          <w:sz w:val="24"/>
          <w:szCs w:val="24"/>
          <w:shd w:val="clear" w:fill="FFFFFF"/>
          <w:lang w:val="en-US" w:eastAsia="zh-CN"/>
        </w:rPr>
        <w:t>《中华人民共和国政府信息公开条例》</w:t>
      </w:r>
      <w:r>
        <w:rPr>
          <w:rFonts w:hint="eastAsia" w:ascii="宋体" w:hAnsi="宋体" w:cs="宋体"/>
          <w:i w:val="0"/>
          <w:iCs w:val="0"/>
          <w:caps w:val="0"/>
          <w:color w:val="000000"/>
          <w:spacing w:val="0"/>
          <w:kern w:val="0"/>
          <w:sz w:val="24"/>
          <w:szCs w:val="24"/>
          <w:shd w:val="clear" w:fill="FFFFFF"/>
          <w:lang w:val="en-US" w:eastAsia="zh-CN" w:bidi="ar"/>
        </w:rPr>
        <w:t>。</w:t>
      </w:r>
    </w:p>
    <w:p>
      <w:pPr>
        <w:keepNext w:val="0"/>
        <w:keepLines w:val="0"/>
        <w:pageBreakBefore w:val="0"/>
        <w:numPr>
          <w:ilvl w:val="0"/>
          <w:numId w:val="0"/>
        </w:numPr>
        <w:kinsoku/>
        <w:wordWrap/>
        <w:overflowPunct/>
        <w:topLinePunct w:val="0"/>
        <w:autoSpaceDE/>
        <w:autoSpaceDN/>
        <w:bidi w:val="0"/>
        <w:adjustRightInd/>
        <w:snapToGrid/>
        <w:spacing w:line="577"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六、其他需要报告的事项</w:t>
      </w:r>
    </w:p>
    <w:p>
      <w:pPr>
        <w:keepNext w:val="0"/>
        <w:keepLines w:val="0"/>
        <w:pageBreakBefore w:val="0"/>
        <w:kinsoku/>
        <w:wordWrap/>
        <w:overflowPunct/>
        <w:topLinePunct w:val="0"/>
        <w:autoSpaceDE/>
        <w:autoSpaceDN/>
        <w:bidi w:val="0"/>
        <w:adjustRightInd/>
        <w:snapToGrid/>
        <w:spacing w:line="577" w:lineRule="exact"/>
        <w:ind w:firstLine="480" w:firstLineChars="200"/>
        <w:textAlignment w:val="auto"/>
        <w:rPr>
          <w:rFonts w:hint="eastAsia" w:ascii="宋体" w:hAnsi="宋体" w:cs="宋体"/>
          <w:i w:val="0"/>
          <w:iCs w:val="0"/>
          <w:caps w:val="0"/>
          <w:color w:val="000000"/>
          <w:spacing w:val="0"/>
          <w:sz w:val="24"/>
          <w:szCs w:val="24"/>
          <w:shd w:val="clear" w:fill="FFFFFF"/>
          <w:lang w:eastAsia="zh-CN"/>
        </w:rPr>
      </w:pPr>
      <w:r>
        <w:rPr>
          <w:rFonts w:hint="eastAsia" w:ascii="宋体" w:hAnsi="宋体" w:eastAsia="宋体" w:cs="宋体"/>
          <w:i w:val="0"/>
          <w:iCs w:val="0"/>
          <w:caps w:val="0"/>
          <w:color w:val="000000"/>
          <w:spacing w:val="0"/>
          <w:sz w:val="24"/>
          <w:szCs w:val="24"/>
          <w:shd w:val="clear" w:fill="FFFFFF"/>
        </w:rPr>
        <w:t>我局无其他需要报告的事项</w:t>
      </w:r>
      <w:r>
        <w:rPr>
          <w:rFonts w:hint="eastAsia" w:ascii="宋体" w:hAnsi="宋体" w:cs="宋体"/>
          <w:i w:val="0"/>
          <w:iCs w:val="0"/>
          <w:caps w:val="0"/>
          <w:color w:val="000000"/>
          <w:spacing w:val="0"/>
          <w:sz w:val="24"/>
          <w:szCs w:val="24"/>
          <w:shd w:val="clear" w:fill="FFFFFF"/>
          <w:lang w:eastAsia="zh-CN"/>
        </w:rPr>
        <w:t>。</w:t>
      </w:r>
    </w:p>
    <w:p>
      <w:pPr>
        <w:keepNext w:val="0"/>
        <w:keepLines w:val="0"/>
        <w:pageBreakBefore w:val="0"/>
        <w:kinsoku/>
        <w:wordWrap/>
        <w:overflowPunct/>
        <w:topLinePunct w:val="0"/>
        <w:autoSpaceDE/>
        <w:autoSpaceDN/>
        <w:bidi w:val="0"/>
        <w:adjustRightInd/>
        <w:snapToGrid/>
        <w:spacing w:line="577" w:lineRule="exact"/>
        <w:ind w:firstLine="480" w:firstLineChars="200"/>
        <w:textAlignment w:val="auto"/>
        <w:rPr>
          <w:rFonts w:hint="eastAsia" w:ascii="宋体" w:hAnsi="宋体" w:cs="宋体"/>
          <w:i w:val="0"/>
          <w:iCs w:val="0"/>
          <w:caps w:val="0"/>
          <w:color w:val="000000"/>
          <w:spacing w:val="0"/>
          <w:sz w:val="24"/>
          <w:szCs w:val="24"/>
          <w:shd w:val="clear" w:fill="FFFFFF"/>
          <w:lang w:eastAsia="zh-CN"/>
        </w:rPr>
      </w:pPr>
    </w:p>
    <w:p>
      <w:pPr>
        <w:keepNext w:val="0"/>
        <w:keepLines w:val="0"/>
        <w:pageBreakBefore w:val="0"/>
        <w:kinsoku/>
        <w:wordWrap/>
        <w:overflowPunct/>
        <w:topLinePunct w:val="0"/>
        <w:autoSpaceDE/>
        <w:autoSpaceDN/>
        <w:bidi w:val="0"/>
        <w:adjustRightInd/>
        <w:snapToGrid/>
        <w:spacing w:line="577" w:lineRule="exact"/>
        <w:ind w:firstLine="6000" w:firstLineChars="2500"/>
        <w:textAlignment w:val="auto"/>
        <w:rPr>
          <w:rFonts w:hint="eastAsia" w:ascii="宋体" w:hAnsi="宋体" w:cs="宋体"/>
          <w:i w:val="0"/>
          <w:iCs w:val="0"/>
          <w:caps w:val="0"/>
          <w:color w:val="000000"/>
          <w:spacing w:val="0"/>
          <w:sz w:val="24"/>
          <w:szCs w:val="24"/>
          <w:shd w:val="clear" w:fill="FFFFFF"/>
          <w:lang w:eastAsia="zh-CN"/>
        </w:rPr>
      </w:pPr>
      <w:r>
        <w:rPr>
          <w:rFonts w:hint="eastAsia" w:ascii="宋体" w:hAnsi="宋体" w:cs="宋体"/>
          <w:i w:val="0"/>
          <w:iCs w:val="0"/>
          <w:caps w:val="0"/>
          <w:color w:val="000000"/>
          <w:spacing w:val="0"/>
          <w:sz w:val="24"/>
          <w:szCs w:val="24"/>
          <w:shd w:val="clear" w:fill="FFFFFF"/>
          <w:lang w:eastAsia="zh-CN"/>
        </w:rPr>
        <w:t>白城市审计局</w:t>
      </w:r>
    </w:p>
    <w:p>
      <w:pPr>
        <w:keepNext w:val="0"/>
        <w:keepLines w:val="0"/>
        <w:pageBreakBefore w:val="0"/>
        <w:kinsoku/>
        <w:wordWrap/>
        <w:overflowPunct/>
        <w:topLinePunct w:val="0"/>
        <w:autoSpaceDE/>
        <w:autoSpaceDN/>
        <w:bidi w:val="0"/>
        <w:adjustRightInd/>
        <w:snapToGrid/>
        <w:spacing w:line="577" w:lineRule="exact"/>
        <w:ind w:firstLine="5760" w:firstLineChars="2400"/>
        <w:textAlignment w:val="auto"/>
        <w:rPr>
          <w:rFonts w:hint="default" w:ascii="宋体" w:hAnsi="宋体" w:cs="宋体"/>
          <w:i w:val="0"/>
          <w:iCs w:val="0"/>
          <w:caps w:val="0"/>
          <w:color w:val="000000"/>
          <w:spacing w:val="0"/>
          <w:sz w:val="24"/>
          <w:szCs w:val="24"/>
          <w:shd w:val="clear" w:fill="FFFFFF"/>
          <w:lang w:val="en-US" w:eastAsia="zh-CN"/>
        </w:rPr>
      </w:pPr>
      <w:r>
        <w:rPr>
          <w:rFonts w:hint="eastAsia" w:ascii="宋体" w:hAnsi="宋体" w:cs="宋体"/>
          <w:i w:val="0"/>
          <w:iCs w:val="0"/>
          <w:caps w:val="0"/>
          <w:color w:val="000000"/>
          <w:spacing w:val="0"/>
          <w:sz w:val="24"/>
          <w:szCs w:val="24"/>
          <w:shd w:val="clear" w:fill="FFFFFF"/>
          <w:lang w:val="en-US" w:eastAsia="zh-CN"/>
        </w:rPr>
        <w:t>2021年1月4日</w:t>
      </w:r>
    </w:p>
    <w:sectPr>
      <w:footerReference r:id="rId3" w:type="default"/>
      <w:footerReference r:id="rId4" w:type="even"/>
      <w:pgSz w:w="11907" w:h="16840"/>
      <w:pgMar w:top="1247"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pPr>
    <w:r>
      <w:rPr>
        <w:rStyle w:val="7"/>
      </w:rPr>
      <w:fldChar w:fldCharType="begin"/>
    </w:r>
    <w:r>
      <w:rPr>
        <w:rStyle w:val="7"/>
      </w:rPr>
      <w:instrText xml:space="preserve">Page</w:instrText>
    </w:r>
    <w:r>
      <w:rPr>
        <w:rStyle w:val="7"/>
      </w:rPr>
      <w:fldChar w:fldCharType="separate"/>
    </w:r>
    <w:r>
      <w:rPr>
        <w:rStyle w:val="7"/>
      </w:rPr>
      <w:t>8</w:t>
    </w:r>
    <w:r>
      <w:rPr>
        <w:rStyle w:val="7"/>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pPr>
    <w:r>
      <w:rPr>
        <w:rStyle w:val="7"/>
      </w:rPr>
      <w:fldChar w:fldCharType="begin"/>
    </w:r>
    <w:r>
      <w:rPr>
        <w:rStyle w:val="7"/>
      </w:rPr>
      <w:instrText xml:space="preserve">Page</w:instrText>
    </w:r>
    <w:r>
      <w:rPr>
        <w:rStyle w:val="7"/>
      </w:rPr>
      <w:fldChar w:fldCharType="separate"/>
    </w:r>
    <w:r>
      <w:rPr>
        <w:rStyle w:val="7"/>
      </w:rPr>
      <w:t>1</w:t>
    </w:r>
    <w:r>
      <w:rPr>
        <w:rStyle w:val="7"/>
      </w:rP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4EC346"/>
    <w:multiLevelType w:val="singleLevel"/>
    <w:tmpl w:val="CE4EC34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5457B7"/>
    <w:rsid w:val="003F07EB"/>
    <w:rsid w:val="008847A2"/>
    <w:rsid w:val="00DC772E"/>
    <w:rsid w:val="00EB0ACE"/>
    <w:rsid w:val="01051131"/>
    <w:rsid w:val="010E3A64"/>
    <w:rsid w:val="0156126F"/>
    <w:rsid w:val="01F84280"/>
    <w:rsid w:val="02205A33"/>
    <w:rsid w:val="02322C76"/>
    <w:rsid w:val="02412348"/>
    <w:rsid w:val="025C4F62"/>
    <w:rsid w:val="02892B63"/>
    <w:rsid w:val="02D72879"/>
    <w:rsid w:val="0388663C"/>
    <w:rsid w:val="042C2C6A"/>
    <w:rsid w:val="046A66C2"/>
    <w:rsid w:val="047B384B"/>
    <w:rsid w:val="04E725CC"/>
    <w:rsid w:val="05031C1C"/>
    <w:rsid w:val="05097BA0"/>
    <w:rsid w:val="054419AC"/>
    <w:rsid w:val="05500334"/>
    <w:rsid w:val="055377A3"/>
    <w:rsid w:val="05575AC4"/>
    <w:rsid w:val="05AA1B80"/>
    <w:rsid w:val="05D82099"/>
    <w:rsid w:val="060B398C"/>
    <w:rsid w:val="065647D2"/>
    <w:rsid w:val="0677688D"/>
    <w:rsid w:val="06B64A6C"/>
    <w:rsid w:val="06D150F0"/>
    <w:rsid w:val="072B1D73"/>
    <w:rsid w:val="07BA6D83"/>
    <w:rsid w:val="07F55223"/>
    <w:rsid w:val="082B709E"/>
    <w:rsid w:val="08445BB0"/>
    <w:rsid w:val="085B2896"/>
    <w:rsid w:val="085D034F"/>
    <w:rsid w:val="088376DE"/>
    <w:rsid w:val="08AB6107"/>
    <w:rsid w:val="08CE7D92"/>
    <w:rsid w:val="0A05611E"/>
    <w:rsid w:val="0AEA2F6D"/>
    <w:rsid w:val="0AFC44AA"/>
    <w:rsid w:val="0B384E81"/>
    <w:rsid w:val="0B4D7158"/>
    <w:rsid w:val="0B5646A3"/>
    <w:rsid w:val="0B5856FC"/>
    <w:rsid w:val="0BC55E7E"/>
    <w:rsid w:val="0BFE768E"/>
    <w:rsid w:val="0C2106D2"/>
    <w:rsid w:val="0C335A90"/>
    <w:rsid w:val="0C9078FD"/>
    <w:rsid w:val="0D0A0FA8"/>
    <w:rsid w:val="0D1835EA"/>
    <w:rsid w:val="0D1F15BD"/>
    <w:rsid w:val="0D244E26"/>
    <w:rsid w:val="0D246118"/>
    <w:rsid w:val="0D5613EC"/>
    <w:rsid w:val="0DA87805"/>
    <w:rsid w:val="0E2208A2"/>
    <w:rsid w:val="0E252C04"/>
    <w:rsid w:val="0EEB5B28"/>
    <w:rsid w:val="0F794915"/>
    <w:rsid w:val="0F957915"/>
    <w:rsid w:val="10C45EC2"/>
    <w:rsid w:val="10DD77C5"/>
    <w:rsid w:val="118714DF"/>
    <w:rsid w:val="120945EA"/>
    <w:rsid w:val="126017D9"/>
    <w:rsid w:val="12652293"/>
    <w:rsid w:val="126844B3"/>
    <w:rsid w:val="127952CC"/>
    <w:rsid w:val="12891287"/>
    <w:rsid w:val="12B2310A"/>
    <w:rsid w:val="133A7E6F"/>
    <w:rsid w:val="135A057D"/>
    <w:rsid w:val="13824654"/>
    <w:rsid w:val="14045069"/>
    <w:rsid w:val="154C4F1A"/>
    <w:rsid w:val="15960C7B"/>
    <w:rsid w:val="15A74787"/>
    <w:rsid w:val="15CC5D0C"/>
    <w:rsid w:val="16826719"/>
    <w:rsid w:val="17035AAC"/>
    <w:rsid w:val="17A8653E"/>
    <w:rsid w:val="17C50FB3"/>
    <w:rsid w:val="18271835"/>
    <w:rsid w:val="189A3FE3"/>
    <w:rsid w:val="18E16C77"/>
    <w:rsid w:val="18E17A47"/>
    <w:rsid w:val="190C750B"/>
    <w:rsid w:val="194C013A"/>
    <w:rsid w:val="19713EB8"/>
    <w:rsid w:val="19DC5E37"/>
    <w:rsid w:val="19E3779A"/>
    <w:rsid w:val="19FA7F28"/>
    <w:rsid w:val="1A267F96"/>
    <w:rsid w:val="1A8472A0"/>
    <w:rsid w:val="1AAE63AE"/>
    <w:rsid w:val="1B3E4ADC"/>
    <w:rsid w:val="1C2F794E"/>
    <w:rsid w:val="1C817BB1"/>
    <w:rsid w:val="1CAD41B2"/>
    <w:rsid w:val="1CDC48B3"/>
    <w:rsid w:val="1D8965DF"/>
    <w:rsid w:val="1E2F6BAF"/>
    <w:rsid w:val="1E4569AA"/>
    <w:rsid w:val="1E4F7829"/>
    <w:rsid w:val="2017555B"/>
    <w:rsid w:val="208E4B8B"/>
    <w:rsid w:val="20B02E89"/>
    <w:rsid w:val="20BD226D"/>
    <w:rsid w:val="20D05671"/>
    <w:rsid w:val="20D66AA1"/>
    <w:rsid w:val="21352234"/>
    <w:rsid w:val="21391D4A"/>
    <w:rsid w:val="21C1794F"/>
    <w:rsid w:val="22226F8F"/>
    <w:rsid w:val="22462CF1"/>
    <w:rsid w:val="225B49EE"/>
    <w:rsid w:val="22BC3B4B"/>
    <w:rsid w:val="22EF7C4D"/>
    <w:rsid w:val="22F131CE"/>
    <w:rsid w:val="2331088B"/>
    <w:rsid w:val="236B1CA1"/>
    <w:rsid w:val="24077797"/>
    <w:rsid w:val="242D5F16"/>
    <w:rsid w:val="243A3680"/>
    <w:rsid w:val="248D578B"/>
    <w:rsid w:val="24E0567E"/>
    <w:rsid w:val="25381095"/>
    <w:rsid w:val="25E0646B"/>
    <w:rsid w:val="25E802D7"/>
    <w:rsid w:val="271E149C"/>
    <w:rsid w:val="2726597F"/>
    <w:rsid w:val="27433CAF"/>
    <w:rsid w:val="2758059C"/>
    <w:rsid w:val="27AD7E4B"/>
    <w:rsid w:val="27B92C6D"/>
    <w:rsid w:val="27DC7823"/>
    <w:rsid w:val="28137BB2"/>
    <w:rsid w:val="287901F8"/>
    <w:rsid w:val="29040757"/>
    <w:rsid w:val="290B62C6"/>
    <w:rsid w:val="29600580"/>
    <w:rsid w:val="29BF5862"/>
    <w:rsid w:val="29C4477A"/>
    <w:rsid w:val="2A02391D"/>
    <w:rsid w:val="2A720D05"/>
    <w:rsid w:val="2ABC3498"/>
    <w:rsid w:val="2AF13D8E"/>
    <w:rsid w:val="2B2362C5"/>
    <w:rsid w:val="2B693250"/>
    <w:rsid w:val="2B7803BF"/>
    <w:rsid w:val="2BF656CE"/>
    <w:rsid w:val="2C471AD8"/>
    <w:rsid w:val="2C47420C"/>
    <w:rsid w:val="2C4A360C"/>
    <w:rsid w:val="2C5C10D5"/>
    <w:rsid w:val="2CB41336"/>
    <w:rsid w:val="2D265BF9"/>
    <w:rsid w:val="2DC45B3D"/>
    <w:rsid w:val="2E480263"/>
    <w:rsid w:val="2E6A6DF4"/>
    <w:rsid w:val="2E9A5A84"/>
    <w:rsid w:val="2EA00AF2"/>
    <w:rsid w:val="2EDD678B"/>
    <w:rsid w:val="2F252ABD"/>
    <w:rsid w:val="2F9E450B"/>
    <w:rsid w:val="3037083C"/>
    <w:rsid w:val="30662EDC"/>
    <w:rsid w:val="306D6799"/>
    <w:rsid w:val="307341BA"/>
    <w:rsid w:val="312942C5"/>
    <w:rsid w:val="319618B2"/>
    <w:rsid w:val="31DB16A7"/>
    <w:rsid w:val="32353BD1"/>
    <w:rsid w:val="323D7255"/>
    <w:rsid w:val="32C91500"/>
    <w:rsid w:val="32E14A9C"/>
    <w:rsid w:val="333F228D"/>
    <w:rsid w:val="33667864"/>
    <w:rsid w:val="337A13F2"/>
    <w:rsid w:val="34515C51"/>
    <w:rsid w:val="34E604E5"/>
    <w:rsid w:val="34EA39B0"/>
    <w:rsid w:val="35325A82"/>
    <w:rsid w:val="35B355F7"/>
    <w:rsid w:val="35E4751E"/>
    <w:rsid w:val="361E1B63"/>
    <w:rsid w:val="365D08DD"/>
    <w:rsid w:val="37147DA6"/>
    <w:rsid w:val="37453B4E"/>
    <w:rsid w:val="378F3CBE"/>
    <w:rsid w:val="38697929"/>
    <w:rsid w:val="38D429AD"/>
    <w:rsid w:val="392A52C7"/>
    <w:rsid w:val="39797D07"/>
    <w:rsid w:val="39D570FE"/>
    <w:rsid w:val="3A0B6CA0"/>
    <w:rsid w:val="3A411ED5"/>
    <w:rsid w:val="3A6C4ACA"/>
    <w:rsid w:val="3AB54517"/>
    <w:rsid w:val="3B0A1C96"/>
    <w:rsid w:val="3B81419B"/>
    <w:rsid w:val="3BF119F2"/>
    <w:rsid w:val="3C2E0116"/>
    <w:rsid w:val="3C6436E5"/>
    <w:rsid w:val="3CC176EC"/>
    <w:rsid w:val="3D0013C3"/>
    <w:rsid w:val="3D3C76DC"/>
    <w:rsid w:val="3D3D229D"/>
    <w:rsid w:val="3DE4273B"/>
    <w:rsid w:val="3E056EC8"/>
    <w:rsid w:val="3E077380"/>
    <w:rsid w:val="3ED95F70"/>
    <w:rsid w:val="3F5D4E79"/>
    <w:rsid w:val="3FAE184C"/>
    <w:rsid w:val="3FB424D4"/>
    <w:rsid w:val="3FBB3AEB"/>
    <w:rsid w:val="3FCF3ECE"/>
    <w:rsid w:val="401F735B"/>
    <w:rsid w:val="404228F2"/>
    <w:rsid w:val="405D37C8"/>
    <w:rsid w:val="40A553B8"/>
    <w:rsid w:val="41C45F1C"/>
    <w:rsid w:val="42497F67"/>
    <w:rsid w:val="424A065C"/>
    <w:rsid w:val="42A6503A"/>
    <w:rsid w:val="4324703C"/>
    <w:rsid w:val="432D3EC7"/>
    <w:rsid w:val="43496A2C"/>
    <w:rsid w:val="4352109E"/>
    <w:rsid w:val="43917E18"/>
    <w:rsid w:val="43E04FAC"/>
    <w:rsid w:val="43E837B0"/>
    <w:rsid w:val="441D3DA4"/>
    <w:rsid w:val="446F50BB"/>
    <w:rsid w:val="45B4185E"/>
    <w:rsid w:val="45B74EE3"/>
    <w:rsid w:val="45B9587B"/>
    <w:rsid w:val="46511A49"/>
    <w:rsid w:val="46847E3E"/>
    <w:rsid w:val="46925084"/>
    <w:rsid w:val="46BD1253"/>
    <w:rsid w:val="46BD2786"/>
    <w:rsid w:val="471422EE"/>
    <w:rsid w:val="475457B7"/>
    <w:rsid w:val="476D19DC"/>
    <w:rsid w:val="478C48DD"/>
    <w:rsid w:val="47F0738D"/>
    <w:rsid w:val="4856407A"/>
    <w:rsid w:val="48C20A74"/>
    <w:rsid w:val="49631762"/>
    <w:rsid w:val="49C70A83"/>
    <w:rsid w:val="49F27681"/>
    <w:rsid w:val="4A300FAA"/>
    <w:rsid w:val="4A370103"/>
    <w:rsid w:val="4A4A77A6"/>
    <w:rsid w:val="4A8E17AE"/>
    <w:rsid w:val="4AC75430"/>
    <w:rsid w:val="4B4400BE"/>
    <w:rsid w:val="4BA57DDC"/>
    <w:rsid w:val="4BD20FCE"/>
    <w:rsid w:val="4C0B066A"/>
    <w:rsid w:val="4C172E84"/>
    <w:rsid w:val="4C1E1F85"/>
    <w:rsid w:val="4C327CBE"/>
    <w:rsid w:val="4C547818"/>
    <w:rsid w:val="4C8C1658"/>
    <w:rsid w:val="4D513D87"/>
    <w:rsid w:val="4D9B0602"/>
    <w:rsid w:val="4DBF26D1"/>
    <w:rsid w:val="4DCB4939"/>
    <w:rsid w:val="4F0016C2"/>
    <w:rsid w:val="4F277882"/>
    <w:rsid w:val="4FA429F9"/>
    <w:rsid w:val="50377F99"/>
    <w:rsid w:val="507E1724"/>
    <w:rsid w:val="50FC7C92"/>
    <w:rsid w:val="51005ED1"/>
    <w:rsid w:val="518377C2"/>
    <w:rsid w:val="518A4489"/>
    <w:rsid w:val="51A40D74"/>
    <w:rsid w:val="52097713"/>
    <w:rsid w:val="52164B03"/>
    <w:rsid w:val="52691F60"/>
    <w:rsid w:val="52CA2DCE"/>
    <w:rsid w:val="52CF6795"/>
    <w:rsid w:val="53290B12"/>
    <w:rsid w:val="53447672"/>
    <w:rsid w:val="53551B86"/>
    <w:rsid w:val="53B62F8B"/>
    <w:rsid w:val="5427661A"/>
    <w:rsid w:val="54344581"/>
    <w:rsid w:val="544E58B1"/>
    <w:rsid w:val="54B80216"/>
    <w:rsid w:val="54F9762F"/>
    <w:rsid w:val="551B7F9F"/>
    <w:rsid w:val="55D73868"/>
    <w:rsid w:val="56A00622"/>
    <w:rsid w:val="5702376B"/>
    <w:rsid w:val="573D7351"/>
    <w:rsid w:val="57437223"/>
    <w:rsid w:val="5756729A"/>
    <w:rsid w:val="576F2F50"/>
    <w:rsid w:val="57723665"/>
    <w:rsid w:val="57D74558"/>
    <w:rsid w:val="57EE3AB7"/>
    <w:rsid w:val="58027B07"/>
    <w:rsid w:val="58133B73"/>
    <w:rsid w:val="582B3650"/>
    <w:rsid w:val="58485A69"/>
    <w:rsid w:val="588F2B00"/>
    <w:rsid w:val="59090807"/>
    <w:rsid w:val="59691E36"/>
    <w:rsid w:val="59DD0927"/>
    <w:rsid w:val="5A0A5919"/>
    <w:rsid w:val="5A44578C"/>
    <w:rsid w:val="5A467C6D"/>
    <w:rsid w:val="5A6D2AFF"/>
    <w:rsid w:val="5AA10777"/>
    <w:rsid w:val="5AB05933"/>
    <w:rsid w:val="5B1A473F"/>
    <w:rsid w:val="5B341533"/>
    <w:rsid w:val="5B4C63D3"/>
    <w:rsid w:val="5B995664"/>
    <w:rsid w:val="5BB7326B"/>
    <w:rsid w:val="5BC80B8E"/>
    <w:rsid w:val="5BD34A21"/>
    <w:rsid w:val="5BDB69A0"/>
    <w:rsid w:val="5C346870"/>
    <w:rsid w:val="5C3D3326"/>
    <w:rsid w:val="5C4D05EC"/>
    <w:rsid w:val="5D681792"/>
    <w:rsid w:val="5D8958E1"/>
    <w:rsid w:val="5E2B4120"/>
    <w:rsid w:val="5E5D63C2"/>
    <w:rsid w:val="5E762F5D"/>
    <w:rsid w:val="5F7C56CA"/>
    <w:rsid w:val="60105AB3"/>
    <w:rsid w:val="607D0AFA"/>
    <w:rsid w:val="60835671"/>
    <w:rsid w:val="60C767CF"/>
    <w:rsid w:val="619F1626"/>
    <w:rsid w:val="62176272"/>
    <w:rsid w:val="626E45D7"/>
    <w:rsid w:val="629C68B0"/>
    <w:rsid w:val="62DB0C58"/>
    <w:rsid w:val="63076A63"/>
    <w:rsid w:val="63956573"/>
    <w:rsid w:val="63F0428F"/>
    <w:rsid w:val="63FF0045"/>
    <w:rsid w:val="645C36D2"/>
    <w:rsid w:val="64EC571C"/>
    <w:rsid w:val="6518584B"/>
    <w:rsid w:val="653250D8"/>
    <w:rsid w:val="65331DE1"/>
    <w:rsid w:val="657C31C2"/>
    <w:rsid w:val="66580AC6"/>
    <w:rsid w:val="6688004B"/>
    <w:rsid w:val="671B766F"/>
    <w:rsid w:val="671D35ED"/>
    <w:rsid w:val="681F3F15"/>
    <w:rsid w:val="68376254"/>
    <w:rsid w:val="686A150F"/>
    <w:rsid w:val="68D75C39"/>
    <w:rsid w:val="68E048D2"/>
    <w:rsid w:val="68F0088D"/>
    <w:rsid w:val="690A5E64"/>
    <w:rsid w:val="690D7691"/>
    <w:rsid w:val="692642F2"/>
    <w:rsid w:val="694F1A58"/>
    <w:rsid w:val="69573BBA"/>
    <w:rsid w:val="695C3735"/>
    <w:rsid w:val="6A0D73FB"/>
    <w:rsid w:val="6A1E49EE"/>
    <w:rsid w:val="6A326C4F"/>
    <w:rsid w:val="6A78665E"/>
    <w:rsid w:val="6A99742E"/>
    <w:rsid w:val="6B3233DF"/>
    <w:rsid w:val="6B414DDE"/>
    <w:rsid w:val="6B715CB5"/>
    <w:rsid w:val="6BA93BCD"/>
    <w:rsid w:val="6BBB46B7"/>
    <w:rsid w:val="6C155B99"/>
    <w:rsid w:val="6CD44759"/>
    <w:rsid w:val="6D082743"/>
    <w:rsid w:val="6D2867F4"/>
    <w:rsid w:val="6E102C34"/>
    <w:rsid w:val="6EC32CCC"/>
    <w:rsid w:val="6F235034"/>
    <w:rsid w:val="6FE20516"/>
    <w:rsid w:val="701B7177"/>
    <w:rsid w:val="701D3E0D"/>
    <w:rsid w:val="7091755D"/>
    <w:rsid w:val="710F2CA9"/>
    <w:rsid w:val="71337421"/>
    <w:rsid w:val="71B450AA"/>
    <w:rsid w:val="725E08FF"/>
    <w:rsid w:val="7262544B"/>
    <w:rsid w:val="727A6FE6"/>
    <w:rsid w:val="727D22A9"/>
    <w:rsid w:val="727E511F"/>
    <w:rsid w:val="7293389E"/>
    <w:rsid w:val="72995E06"/>
    <w:rsid w:val="729A51F5"/>
    <w:rsid w:val="72FF0523"/>
    <w:rsid w:val="73AB7D4A"/>
    <w:rsid w:val="73E27416"/>
    <w:rsid w:val="73EC36F7"/>
    <w:rsid w:val="74414E61"/>
    <w:rsid w:val="749A7C6A"/>
    <w:rsid w:val="750F65A0"/>
    <w:rsid w:val="75D91D6C"/>
    <w:rsid w:val="75EF25F8"/>
    <w:rsid w:val="761F5958"/>
    <w:rsid w:val="76A01B45"/>
    <w:rsid w:val="76BA1844"/>
    <w:rsid w:val="77541DD9"/>
    <w:rsid w:val="776E4808"/>
    <w:rsid w:val="7772528F"/>
    <w:rsid w:val="77B12FFC"/>
    <w:rsid w:val="77B51620"/>
    <w:rsid w:val="78100FCD"/>
    <w:rsid w:val="78224565"/>
    <w:rsid w:val="783D0F0C"/>
    <w:rsid w:val="786170B2"/>
    <w:rsid w:val="78680440"/>
    <w:rsid w:val="788A4B76"/>
    <w:rsid w:val="78B23347"/>
    <w:rsid w:val="79D342E6"/>
    <w:rsid w:val="7A440A39"/>
    <w:rsid w:val="7A7F7DAD"/>
    <w:rsid w:val="7AD84425"/>
    <w:rsid w:val="7B492383"/>
    <w:rsid w:val="7B4E5F53"/>
    <w:rsid w:val="7BBD0AA3"/>
    <w:rsid w:val="7BBE7DDC"/>
    <w:rsid w:val="7BC419C1"/>
    <w:rsid w:val="7C353FC0"/>
    <w:rsid w:val="7C3A5A3B"/>
    <w:rsid w:val="7C506DEC"/>
    <w:rsid w:val="7C6A30A7"/>
    <w:rsid w:val="7C9C45CC"/>
    <w:rsid w:val="7D657644"/>
    <w:rsid w:val="7DA87189"/>
    <w:rsid w:val="7DAB6DDC"/>
    <w:rsid w:val="7DC507E5"/>
    <w:rsid w:val="7E2E7A36"/>
    <w:rsid w:val="7E3F1E63"/>
    <w:rsid w:val="7E5A528F"/>
    <w:rsid w:val="7E755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7"/>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2021-11-30T01:38:00Z</dcterms:created>
  <dc:creator>Administrator</dc:creator>
  <cp:lastModifiedBy>Administrator</cp:lastModifiedBy>
  <dcterms:modified xsi:type="dcterms:W3CDTF">2022-01-04T03:21:58Z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0A3C99E69A464E899BD9AB978E9EEC39</vt:lpwstr>
  </property>
</Properties>
</file>