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F45B">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ascii="宋体" w:hAnsi="宋体" w:cs="宋体"/>
          <w:b/>
          <w:bCs/>
          <w:sz w:val="36"/>
          <w:szCs w:val="36"/>
          <w:lang w:eastAsia="zh-CN"/>
        </w:rPr>
      </w:pPr>
    </w:p>
    <w:p w14:paraId="7CCC3D36">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ascii="宋体" w:hAnsi="宋体" w:eastAsia="宋体" w:cs="宋体"/>
          <w:b/>
          <w:bCs/>
          <w:sz w:val="36"/>
          <w:szCs w:val="36"/>
        </w:rPr>
      </w:pPr>
      <w:r>
        <w:rPr>
          <w:rFonts w:hint="eastAsia" w:ascii="宋体" w:hAnsi="宋体" w:cs="宋体"/>
          <w:b/>
          <w:bCs/>
          <w:sz w:val="36"/>
          <w:szCs w:val="36"/>
          <w:lang w:eastAsia="zh-CN"/>
        </w:rPr>
        <w:t>白城市审计局</w:t>
      </w:r>
      <w:r>
        <w:rPr>
          <w:rFonts w:hint="eastAsia" w:ascii="宋体" w:hAnsi="宋体" w:cs="宋体"/>
          <w:b/>
          <w:bCs/>
          <w:sz w:val="36"/>
          <w:szCs w:val="36"/>
          <w:lang w:val="en-US" w:eastAsia="zh-CN"/>
        </w:rPr>
        <w:t>2024年度</w:t>
      </w:r>
      <w:r>
        <w:rPr>
          <w:rFonts w:hint="eastAsia" w:ascii="宋体" w:hAnsi="宋体" w:eastAsia="宋体" w:cs="宋体"/>
          <w:b/>
          <w:bCs/>
          <w:sz w:val="36"/>
          <w:szCs w:val="36"/>
        </w:rPr>
        <w:t>政府信息公开年度报告</w:t>
      </w:r>
    </w:p>
    <w:p w14:paraId="1E054A11">
      <w:pPr>
        <w:keepNext w:val="0"/>
        <w:keepLines w:val="0"/>
        <w:pageBreakBefore w:val="0"/>
        <w:kinsoku/>
        <w:wordWrap/>
        <w:overflowPunct/>
        <w:topLinePunct w:val="0"/>
        <w:autoSpaceDE/>
        <w:autoSpaceDN/>
        <w:bidi w:val="0"/>
        <w:adjustRightInd/>
        <w:snapToGrid/>
        <w:spacing w:line="577" w:lineRule="exact"/>
        <w:ind w:firstLine="480" w:firstLineChars="200"/>
        <w:jc w:val="both"/>
        <w:textAlignment w:val="auto"/>
        <w:rPr>
          <w:rFonts w:hint="eastAsia" w:ascii="宋体" w:hAnsi="宋体" w:eastAsia="宋体" w:cs="宋体"/>
          <w:i w:val="0"/>
          <w:iCs w:val="0"/>
          <w:caps w:val="0"/>
          <w:color w:val="000000"/>
          <w:spacing w:val="0"/>
          <w:sz w:val="24"/>
          <w:szCs w:val="24"/>
          <w:shd w:val="clear" w:fill="FFFFFF"/>
        </w:rPr>
      </w:pPr>
    </w:p>
    <w:p w14:paraId="4D9A4A0A">
      <w:pPr>
        <w:keepNext w:val="0"/>
        <w:keepLines w:val="0"/>
        <w:pageBreakBefore w:val="0"/>
        <w:widowControl w:val="0"/>
        <w:kinsoku/>
        <w:wordWrap/>
        <w:overflowPunct/>
        <w:topLinePunct w:val="0"/>
        <w:autoSpaceDE/>
        <w:autoSpaceDN/>
        <w:bidi w:val="0"/>
        <w:adjustRightInd/>
        <w:snapToGrid/>
        <w:spacing w:line="577" w:lineRule="exact"/>
        <w:ind w:firstLine="720" w:firstLineChars="300"/>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按照《中华人民共和国政府信息公开工作年度报告格式》要求，报告由六个部分组成，包括：总体情况、行政机关主动公开政府信息情况、行政机关收到和处理政府信息公开申请情况、因政府信息公开被申请行政复议和提起行政诉讼情况、政府信息公开工作中存在的主要问题及改进情况、其他需要报告的事项。所列数据截止日期为2024年12月31日,报告起草单位为白城市审计局（地址：白城市幸福北大街6号，邮编：137000，电话：0436-3352008）。</w:t>
      </w:r>
    </w:p>
    <w:p w14:paraId="2BDD3D50">
      <w:pPr>
        <w:keepNext w:val="0"/>
        <w:keepLines w:val="0"/>
        <w:pageBreakBefore w:val="0"/>
        <w:numPr>
          <w:ilvl w:val="0"/>
          <w:numId w:val="0"/>
        </w:numPr>
        <w:kinsoku/>
        <w:wordWrap/>
        <w:overflowPunct/>
        <w:topLinePunct w:val="0"/>
        <w:autoSpaceDE/>
        <w:autoSpaceDN/>
        <w:bidi w:val="0"/>
        <w:adjustRightInd/>
        <w:snapToGrid/>
        <w:spacing w:line="577" w:lineRule="exact"/>
        <w:ind w:firstLine="480" w:firstLineChars="200"/>
        <w:textAlignment w:val="auto"/>
        <w:rPr>
          <w:rFonts w:hint="eastAsia" w:ascii="楷体_GB2312" w:eastAsia="楷体_GB2312"/>
          <w:sz w:val="32"/>
          <w:szCs w:val="32"/>
        </w:rPr>
      </w:pPr>
      <w:r>
        <w:rPr>
          <w:rFonts w:hint="eastAsia" w:ascii="宋体" w:hAnsi="宋体" w:cs="宋体"/>
          <w:b/>
          <w:bCs/>
          <w:sz w:val="24"/>
          <w:szCs w:val="24"/>
          <w:lang w:eastAsia="zh-CN"/>
        </w:rPr>
        <w:t>一、</w:t>
      </w:r>
      <w:r>
        <w:rPr>
          <w:rFonts w:hint="eastAsia" w:ascii="宋体" w:hAnsi="宋体" w:eastAsia="宋体" w:cs="宋体"/>
          <w:b/>
          <w:bCs/>
          <w:sz w:val="24"/>
          <w:szCs w:val="24"/>
        </w:rPr>
        <w:t>总体情况</w:t>
      </w:r>
    </w:p>
    <w:p w14:paraId="0FEE72FD">
      <w:pPr>
        <w:keepNext w:val="0"/>
        <w:keepLines w:val="0"/>
        <w:pageBreakBefore w:val="0"/>
        <w:widowControl w:val="0"/>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年初以来，我局</w:t>
      </w:r>
      <w:r>
        <w:rPr>
          <w:rFonts w:hint="eastAsia" w:ascii="宋体" w:hAnsi="宋体" w:eastAsia="宋体" w:cs="宋体"/>
          <w:i w:val="0"/>
          <w:iCs w:val="0"/>
          <w:caps w:val="0"/>
          <w:color w:val="000000"/>
          <w:spacing w:val="0"/>
          <w:sz w:val="24"/>
          <w:szCs w:val="24"/>
          <w:shd w:val="clear" w:fill="FFFFFF"/>
          <w:lang w:val="en-US" w:eastAsia="zh-CN"/>
        </w:rPr>
        <w:t>深入贯彻落实《中华人民共和国政府信息公开条例》</w:t>
      </w:r>
      <w:r>
        <w:rPr>
          <w:rFonts w:hint="eastAsia" w:ascii="宋体" w:hAnsi="宋体" w:cs="宋体"/>
          <w:i w:val="0"/>
          <w:iCs w:val="0"/>
          <w:caps w:val="0"/>
          <w:color w:val="000000"/>
          <w:spacing w:val="0"/>
          <w:sz w:val="24"/>
          <w:szCs w:val="24"/>
          <w:shd w:val="clear" w:fill="FFFFFF"/>
          <w:lang w:val="en-US" w:eastAsia="zh-CN"/>
        </w:rPr>
        <w:t>文件精神和市政务公开（政府信息公开）领导小组办公室相关通知要求，</w:t>
      </w:r>
      <w:r>
        <w:rPr>
          <w:rFonts w:hint="eastAsia" w:ascii="宋体" w:hAnsi="宋体" w:eastAsia="宋体" w:cs="宋体"/>
          <w:i w:val="0"/>
          <w:iCs w:val="0"/>
          <w:caps w:val="0"/>
          <w:color w:val="000000"/>
          <w:spacing w:val="0"/>
          <w:sz w:val="24"/>
          <w:szCs w:val="24"/>
          <w:shd w:val="clear" w:fill="FFFFFF"/>
        </w:rPr>
        <w:t>不断深化对推行政务公开重要性的认识</w:t>
      </w:r>
      <w:r>
        <w:rPr>
          <w:rFonts w:hint="eastAsia" w:ascii="宋体" w:hAnsi="宋体" w:cs="宋体"/>
          <w:i w:val="0"/>
          <w:iCs w:val="0"/>
          <w:caps w:val="0"/>
          <w:color w:val="000000"/>
          <w:spacing w:val="0"/>
          <w:sz w:val="24"/>
          <w:szCs w:val="24"/>
          <w:shd w:val="clear" w:fill="FFFFFF"/>
          <w:lang w:eastAsia="zh-CN"/>
        </w:rPr>
        <w:t>，按照“统筹规划、资源共享、面向公众、保障安全”的要求，充分发挥</w:t>
      </w:r>
      <w:r>
        <w:rPr>
          <w:rFonts w:hint="eastAsia" w:ascii="宋体" w:hAnsi="宋体" w:cs="宋体"/>
          <w:i w:val="0"/>
          <w:iCs w:val="0"/>
          <w:caps w:val="0"/>
          <w:color w:val="000000"/>
          <w:spacing w:val="0"/>
          <w:sz w:val="24"/>
          <w:szCs w:val="24"/>
          <w:shd w:val="clear" w:fill="FFFFFF"/>
          <w:lang w:val="en-US" w:eastAsia="zh-CN"/>
        </w:rPr>
        <w:t>好政府信息公开制度的功能和作用，切实落实好政府机关的主体责任，不断提升信息公开的能力和水平。</w:t>
      </w:r>
      <w:r>
        <w:rPr>
          <w:rFonts w:hint="eastAsia" w:ascii="宋体" w:hAnsi="宋体" w:eastAsia="宋体" w:cs="宋体"/>
          <w:i w:val="0"/>
          <w:iCs w:val="0"/>
          <w:caps w:val="0"/>
          <w:color w:val="000000"/>
          <w:spacing w:val="0"/>
          <w:sz w:val="24"/>
          <w:szCs w:val="24"/>
          <w:shd w:val="clear" w:fill="FFFFFF"/>
          <w:lang w:val="en-US" w:eastAsia="zh-CN"/>
        </w:rPr>
        <w:t>根据《中华人民共和国政府信息公开条例》规定，结合工作实际，</w:t>
      </w:r>
      <w:r>
        <w:rPr>
          <w:rFonts w:hint="eastAsia" w:ascii="宋体" w:hAnsi="宋体" w:cs="宋体"/>
          <w:i w:val="0"/>
          <w:iCs w:val="0"/>
          <w:caps w:val="0"/>
          <w:color w:val="000000"/>
          <w:spacing w:val="0"/>
          <w:sz w:val="24"/>
          <w:szCs w:val="24"/>
          <w:shd w:val="clear" w:fill="FFFFFF"/>
          <w:lang w:val="en-US" w:eastAsia="zh-CN"/>
        </w:rPr>
        <w:t>现</w:t>
      </w:r>
      <w:r>
        <w:rPr>
          <w:rFonts w:hint="eastAsia" w:ascii="宋体" w:hAnsi="宋体" w:eastAsia="宋体" w:cs="宋体"/>
          <w:i w:val="0"/>
          <w:iCs w:val="0"/>
          <w:caps w:val="0"/>
          <w:color w:val="000000"/>
          <w:spacing w:val="0"/>
          <w:sz w:val="24"/>
          <w:szCs w:val="24"/>
          <w:shd w:val="clear" w:fill="FFFFFF"/>
          <w:lang w:val="en-US" w:eastAsia="zh-CN"/>
        </w:rPr>
        <w:t>对</w:t>
      </w:r>
      <w:r>
        <w:rPr>
          <w:rFonts w:hint="eastAsia" w:ascii="宋体" w:hAnsi="宋体" w:cs="宋体"/>
          <w:i w:val="0"/>
          <w:iCs w:val="0"/>
          <w:caps w:val="0"/>
          <w:color w:val="000000"/>
          <w:spacing w:val="0"/>
          <w:sz w:val="24"/>
          <w:szCs w:val="24"/>
          <w:shd w:val="clear" w:fill="FFFFFF"/>
          <w:lang w:val="en-US" w:eastAsia="zh-CN"/>
        </w:rPr>
        <w:t>2024</w:t>
      </w:r>
      <w:r>
        <w:rPr>
          <w:rFonts w:hint="eastAsia" w:ascii="宋体" w:hAnsi="宋体" w:eastAsia="宋体" w:cs="宋体"/>
          <w:i w:val="0"/>
          <w:iCs w:val="0"/>
          <w:caps w:val="0"/>
          <w:color w:val="000000"/>
          <w:spacing w:val="0"/>
          <w:sz w:val="24"/>
          <w:szCs w:val="24"/>
          <w:shd w:val="clear" w:fill="FFFFFF"/>
          <w:lang w:val="en-US" w:eastAsia="zh-CN"/>
        </w:rPr>
        <w:t>年度政府信息公开工作情况进行了梳理、统计和总结如下：</w:t>
      </w:r>
    </w:p>
    <w:p w14:paraId="23838C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default" w:ascii="Calibri" w:hAnsi="Calibri" w:cs="Calibri"/>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shd w:val="clear" w:fill="FFFFFF"/>
          <w:lang w:val="en-US" w:eastAsia="zh-CN" w:bidi="ar"/>
        </w:rPr>
        <w:t>（一）主动全面公开政府信息。</w:t>
      </w:r>
      <w:r>
        <w:rPr>
          <w:rFonts w:hint="eastAsia" w:ascii="宋体" w:hAnsi="宋体" w:cs="宋体"/>
          <w:i w:val="0"/>
          <w:iCs w:val="0"/>
          <w:caps w:val="0"/>
          <w:color w:val="000000"/>
          <w:spacing w:val="0"/>
          <w:kern w:val="0"/>
          <w:sz w:val="24"/>
          <w:szCs w:val="24"/>
          <w:shd w:val="clear" w:fill="FFFFFF"/>
          <w:lang w:val="en-US" w:eastAsia="zh-CN" w:bidi="ar"/>
        </w:rPr>
        <w:t>2024</w:t>
      </w:r>
      <w:r>
        <w:rPr>
          <w:rFonts w:hint="eastAsia" w:ascii="宋体" w:hAnsi="宋体" w:eastAsia="宋体" w:cs="宋体"/>
          <w:i w:val="0"/>
          <w:iCs w:val="0"/>
          <w:caps w:val="0"/>
          <w:color w:val="000000"/>
          <w:spacing w:val="0"/>
          <w:kern w:val="0"/>
          <w:sz w:val="24"/>
          <w:szCs w:val="24"/>
          <w:shd w:val="clear" w:fill="FFFFFF"/>
          <w:lang w:val="en-US" w:eastAsia="zh-CN" w:bidi="ar"/>
        </w:rPr>
        <w:t>年，我局认真贯彻</w:t>
      </w:r>
      <w:r>
        <w:rPr>
          <w:rFonts w:hint="eastAsia" w:ascii="宋体" w:hAnsi="宋体" w:cs="宋体"/>
          <w:i w:val="0"/>
          <w:iCs w:val="0"/>
          <w:caps w:val="0"/>
          <w:color w:val="000000"/>
          <w:spacing w:val="0"/>
          <w:kern w:val="0"/>
          <w:sz w:val="24"/>
          <w:szCs w:val="24"/>
          <w:shd w:val="clear" w:fill="FFFFFF"/>
          <w:lang w:val="en-US" w:eastAsia="zh-CN" w:bidi="ar"/>
        </w:rPr>
        <w:t>落实</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sz w:val="24"/>
          <w:szCs w:val="24"/>
          <w:shd w:val="clear" w:fill="FFFFFF"/>
          <w:lang w:val="en-US" w:eastAsia="zh-CN"/>
        </w:rPr>
        <w:t>中华人民共和国政府</w:t>
      </w:r>
      <w:r>
        <w:rPr>
          <w:rFonts w:hint="eastAsia" w:ascii="宋体" w:hAnsi="宋体" w:eastAsia="宋体" w:cs="宋体"/>
          <w:i w:val="0"/>
          <w:iCs w:val="0"/>
          <w:caps w:val="0"/>
          <w:color w:val="000000"/>
          <w:spacing w:val="0"/>
          <w:kern w:val="0"/>
          <w:sz w:val="24"/>
          <w:szCs w:val="24"/>
          <w:shd w:val="clear" w:fill="FFFFFF"/>
          <w:lang w:val="en-US" w:eastAsia="zh-CN" w:bidi="ar"/>
        </w:rPr>
        <w:t>信息公开条例》</w:t>
      </w:r>
      <w:r>
        <w:rPr>
          <w:rFonts w:hint="eastAsia" w:ascii="宋体" w:hAnsi="宋体" w:cs="宋体"/>
          <w:i w:val="0"/>
          <w:iCs w:val="0"/>
          <w:caps w:val="0"/>
          <w:color w:val="000000"/>
          <w:spacing w:val="0"/>
          <w:kern w:val="0"/>
          <w:sz w:val="24"/>
          <w:szCs w:val="24"/>
          <w:shd w:val="clear" w:fill="FFFFFF"/>
          <w:lang w:val="en-US" w:eastAsia="zh-CN" w:bidi="ar"/>
        </w:rPr>
        <w:t>文件精神</w:t>
      </w:r>
      <w:r>
        <w:rPr>
          <w:rFonts w:hint="eastAsia" w:ascii="宋体" w:hAnsi="宋体" w:eastAsia="宋体" w:cs="宋体"/>
          <w:i w:val="0"/>
          <w:iCs w:val="0"/>
          <w:caps w:val="0"/>
          <w:color w:val="000000"/>
          <w:spacing w:val="0"/>
          <w:kern w:val="0"/>
          <w:sz w:val="24"/>
          <w:szCs w:val="24"/>
          <w:shd w:val="clear" w:fill="FFFFFF"/>
          <w:lang w:val="en-US" w:eastAsia="zh-CN" w:bidi="ar"/>
        </w:rPr>
        <w:t>,按照“以公开为原则，不公开为例外”的要求，着力提升政府信息公开工作质量，增强审计信息公开时效性</w:t>
      </w:r>
      <w:r>
        <w:rPr>
          <w:rFonts w:hint="eastAsia" w:ascii="宋体" w:hAnsi="宋体" w:cs="宋体"/>
          <w:i w:val="0"/>
          <w:iCs w:val="0"/>
          <w:caps w:val="0"/>
          <w:color w:val="000000"/>
          <w:spacing w:val="0"/>
          <w:kern w:val="0"/>
          <w:sz w:val="24"/>
          <w:szCs w:val="24"/>
          <w:shd w:val="clear" w:fill="FFFFFF"/>
          <w:lang w:val="en-US" w:eastAsia="zh-CN" w:bidi="ar"/>
        </w:rPr>
        <w:t>，推动</w:t>
      </w:r>
      <w:r>
        <w:rPr>
          <w:rFonts w:hint="eastAsia" w:ascii="宋体" w:hAnsi="宋体" w:eastAsia="宋体" w:cs="宋体"/>
          <w:i w:val="0"/>
          <w:iCs w:val="0"/>
          <w:caps w:val="0"/>
          <w:color w:val="000000"/>
          <w:spacing w:val="0"/>
          <w:kern w:val="0"/>
          <w:sz w:val="24"/>
          <w:szCs w:val="24"/>
          <w:shd w:val="clear" w:fill="FFFFFF"/>
          <w:lang w:val="en-US" w:eastAsia="zh-CN" w:bidi="ar"/>
        </w:rPr>
        <w:t>审计工作公信力和透明度进一步提升。</w:t>
      </w:r>
      <w:r>
        <w:rPr>
          <w:rFonts w:hint="eastAsia" w:ascii="宋体" w:hAnsi="宋体" w:eastAsia="宋体" w:cs="宋体"/>
          <w:i w:val="0"/>
          <w:iCs w:val="0"/>
          <w:caps w:val="0"/>
          <w:color w:val="000000"/>
          <w:spacing w:val="0"/>
          <w:sz w:val="24"/>
          <w:szCs w:val="24"/>
          <w:shd w:val="clear" w:fill="FFFFFF"/>
          <w:lang w:val="en-US" w:eastAsia="zh-CN"/>
        </w:rPr>
        <w:t>对涉及公众利益调整、需要公众广泛知晓或者需要公众参与决策的政府信息，</w:t>
      </w:r>
      <w:r>
        <w:rPr>
          <w:rFonts w:hint="eastAsia" w:ascii="宋体" w:hAnsi="宋体" w:cs="宋体"/>
          <w:i w:val="0"/>
          <w:iCs w:val="0"/>
          <w:caps w:val="0"/>
          <w:color w:val="000000"/>
          <w:spacing w:val="0"/>
          <w:sz w:val="24"/>
          <w:szCs w:val="24"/>
          <w:shd w:val="clear" w:fill="FFFFFF"/>
          <w:lang w:val="en-US" w:eastAsia="zh-CN"/>
        </w:rPr>
        <w:t>进行了</w:t>
      </w:r>
      <w:r>
        <w:rPr>
          <w:rFonts w:hint="eastAsia" w:ascii="宋体" w:hAnsi="宋体" w:eastAsia="宋体" w:cs="宋体"/>
          <w:i w:val="0"/>
          <w:iCs w:val="0"/>
          <w:caps w:val="0"/>
          <w:color w:val="000000"/>
          <w:spacing w:val="0"/>
          <w:sz w:val="24"/>
          <w:szCs w:val="24"/>
          <w:shd w:val="clear" w:fill="FFFFFF"/>
          <w:lang w:val="en-US" w:eastAsia="zh-CN"/>
        </w:rPr>
        <w:t>主动公开</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全年共</w:t>
      </w:r>
      <w:r>
        <w:rPr>
          <w:rFonts w:hint="eastAsia" w:ascii="宋体" w:hAnsi="宋体" w:cs="宋体"/>
          <w:i w:val="0"/>
          <w:iCs w:val="0"/>
          <w:caps w:val="0"/>
          <w:color w:val="000000"/>
          <w:spacing w:val="0"/>
          <w:kern w:val="0"/>
          <w:sz w:val="24"/>
          <w:szCs w:val="24"/>
          <w:shd w:val="clear" w:fill="FFFFFF"/>
          <w:lang w:val="en-US" w:eastAsia="zh-CN" w:bidi="ar"/>
        </w:rPr>
        <w:t>公开</w:t>
      </w:r>
      <w:r>
        <w:rPr>
          <w:rFonts w:hint="eastAsia" w:ascii="宋体" w:hAnsi="宋体" w:eastAsia="宋体" w:cs="宋体"/>
          <w:i w:val="0"/>
          <w:iCs w:val="0"/>
          <w:caps w:val="0"/>
          <w:color w:val="000000"/>
          <w:spacing w:val="0"/>
          <w:kern w:val="0"/>
          <w:sz w:val="24"/>
          <w:szCs w:val="24"/>
          <w:shd w:val="clear" w:fill="FFFFFF"/>
          <w:lang w:val="en-US" w:eastAsia="zh-CN" w:bidi="ar"/>
        </w:rPr>
        <w:t>发布各类文件、公告类信息</w:t>
      </w:r>
      <w:r>
        <w:rPr>
          <w:rFonts w:hint="eastAsia" w:ascii="宋体" w:hAnsi="宋体" w:cs="宋体"/>
          <w:i w:val="0"/>
          <w:iCs w:val="0"/>
          <w:caps w:val="0"/>
          <w:color w:val="000000"/>
          <w:spacing w:val="0"/>
          <w:kern w:val="0"/>
          <w:sz w:val="24"/>
          <w:szCs w:val="24"/>
          <w:shd w:val="clear" w:fill="FFFFFF"/>
          <w:lang w:val="en-US" w:eastAsia="zh-CN" w:bidi="ar"/>
        </w:rPr>
        <w:t>1</w:t>
      </w:r>
      <w:r>
        <w:rPr>
          <w:rFonts w:hint="eastAsia" w:ascii="宋体" w:hAnsi="宋体" w:eastAsia="宋体" w:cs="宋体"/>
          <w:i w:val="0"/>
          <w:iCs w:val="0"/>
          <w:caps w:val="0"/>
          <w:color w:val="000000"/>
          <w:spacing w:val="0"/>
          <w:kern w:val="0"/>
          <w:sz w:val="24"/>
          <w:szCs w:val="24"/>
          <w:shd w:val="clear" w:fill="FFFFFF"/>
          <w:lang w:val="en-US" w:eastAsia="zh-CN" w:bidi="ar"/>
        </w:rPr>
        <w:t>条。</w:t>
      </w:r>
    </w:p>
    <w:p w14:paraId="49E3FC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default" w:ascii="Calibri" w:hAnsi="Calibri" w:cs="Calibri"/>
          <w:i w:val="0"/>
          <w:iCs w:val="0"/>
          <w:caps w:val="0"/>
          <w:color w:val="000000"/>
          <w:spacing w:val="0"/>
          <w:sz w:val="24"/>
          <w:szCs w:val="24"/>
        </w:rPr>
      </w:pPr>
      <w:r>
        <w:rPr>
          <w:rFonts w:hint="eastAsia" w:ascii="楷体" w:hAnsi="楷体" w:eastAsia="楷体" w:cs="楷体"/>
          <w:i w:val="0"/>
          <w:iCs w:val="0"/>
          <w:caps w:val="0"/>
          <w:color w:val="000000"/>
          <w:spacing w:val="0"/>
          <w:kern w:val="0"/>
          <w:sz w:val="24"/>
          <w:szCs w:val="24"/>
          <w:shd w:val="clear" w:fill="FFFFFF"/>
          <w:lang w:val="en-US" w:eastAsia="zh-CN" w:bidi="ar"/>
        </w:rPr>
        <w:t>（二）规范处理依申请公开。</w:t>
      </w:r>
      <w:r>
        <w:rPr>
          <w:rFonts w:hint="eastAsia" w:ascii="宋体" w:hAnsi="宋体" w:eastAsia="宋体" w:cs="宋体"/>
          <w:i w:val="0"/>
          <w:iCs w:val="0"/>
          <w:caps w:val="0"/>
          <w:color w:val="000000"/>
          <w:spacing w:val="0"/>
          <w:kern w:val="0"/>
          <w:sz w:val="24"/>
          <w:szCs w:val="24"/>
          <w:shd w:val="clear" w:fill="FFFFFF"/>
          <w:lang w:val="en-US" w:eastAsia="zh-CN" w:bidi="ar"/>
        </w:rPr>
        <w:t>为保证公民、法人或者其他社会组织获取所需要的政府信息，做好政府信息依申请公开工作，</w:t>
      </w:r>
      <w:r>
        <w:rPr>
          <w:rFonts w:hint="eastAsia" w:ascii="宋体" w:hAnsi="宋体" w:cs="宋体"/>
          <w:i w:val="0"/>
          <w:iCs w:val="0"/>
          <w:caps w:val="0"/>
          <w:color w:val="000000"/>
          <w:spacing w:val="0"/>
          <w:kern w:val="0"/>
          <w:sz w:val="24"/>
          <w:szCs w:val="24"/>
          <w:shd w:val="clear" w:fill="FFFFFF"/>
          <w:lang w:val="en-US" w:eastAsia="zh-CN" w:bidi="ar"/>
        </w:rPr>
        <w:t>积极</w:t>
      </w:r>
      <w:r>
        <w:rPr>
          <w:rFonts w:hint="eastAsia" w:ascii="宋体" w:hAnsi="宋体" w:eastAsia="宋体" w:cs="宋体"/>
          <w:i w:val="0"/>
          <w:iCs w:val="0"/>
          <w:caps w:val="0"/>
          <w:color w:val="000000"/>
          <w:spacing w:val="0"/>
          <w:kern w:val="0"/>
          <w:sz w:val="24"/>
          <w:szCs w:val="24"/>
          <w:shd w:val="clear" w:fill="FFFFFF"/>
          <w:lang w:val="en-US" w:eastAsia="zh-CN" w:bidi="ar"/>
        </w:rPr>
        <w:t>规范办理流程，按照国家、省市要求进行接收、登记、办理、审核、答复、归档</w:t>
      </w:r>
      <w:r>
        <w:rPr>
          <w:rFonts w:hint="eastAsia" w:ascii="宋体" w:hAnsi="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全年</w:t>
      </w:r>
      <w:r>
        <w:rPr>
          <w:rFonts w:hint="eastAsia" w:ascii="宋体" w:hAnsi="宋体" w:cs="宋体"/>
          <w:i w:val="0"/>
          <w:iCs w:val="0"/>
          <w:caps w:val="0"/>
          <w:color w:val="000000"/>
          <w:spacing w:val="0"/>
          <w:kern w:val="0"/>
          <w:sz w:val="24"/>
          <w:szCs w:val="24"/>
          <w:shd w:val="clear" w:fill="FFFFFF"/>
          <w:lang w:val="en-US" w:eastAsia="zh-CN" w:bidi="ar"/>
        </w:rPr>
        <w:t>共</w:t>
      </w:r>
      <w:r>
        <w:rPr>
          <w:rFonts w:hint="eastAsia" w:ascii="宋体" w:hAnsi="宋体" w:eastAsia="宋体" w:cs="宋体"/>
          <w:i w:val="0"/>
          <w:iCs w:val="0"/>
          <w:caps w:val="0"/>
          <w:color w:val="000000"/>
          <w:spacing w:val="0"/>
          <w:kern w:val="0"/>
          <w:sz w:val="24"/>
          <w:szCs w:val="24"/>
          <w:shd w:val="clear" w:fill="FFFFFF"/>
          <w:lang w:val="en-US" w:eastAsia="zh-CN" w:bidi="ar"/>
        </w:rPr>
        <w:t>受理政府信息依申请公开数量</w:t>
      </w:r>
      <w:r>
        <w:rPr>
          <w:rFonts w:hint="eastAsia" w:ascii="宋体" w:hAnsi="宋体" w:cs="宋体"/>
          <w:i w:val="0"/>
          <w:iCs w:val="0"/>
          <w:caps w:val="0"/>
          <w:color w:val="000000"/>
          <w:spacing w:val="0"/>
          <w:kern w:val="0"/>
          <w:sz w:val="24"/>
          <w:szCs w:val="24"/>
          <w:shd w:val="clear" w:fill="FFFFFF"/>
          <w:lang w:val="en-US" w:eastAsia="zh-CN" w:bidi="ar"/>
        </w:rPr>
        <w:t>0</w:t>
      </w:r>
      <w:r>
        <w:rPr>
          <w:rFonts w:hint="eastAsia" w:ascii="宋体" w:hAnsi="宋体" w:eastAsia="宋体" w:cs="宋体"/>
          <w:i w:val="0"/>
          <w:iCs w:val="0"/>
          <w:caps w:val="0"/>
          <w:color w:val="000000"/>
          <w:spacing w:val="0"/>
          <w:kern w:val="0"/>
          <w:sz w:val="24"/>
          <w:szCs w:val="24"/>
          <w:shd w:val="clear" w:fill="FFFFFF"/>
          <w:lang w:val="en-US" w:eastAsia="zh-CN" w:bidi="ar"/>
        </w:rPr>
        <w:t>件</w:t>
      </w:r>
      <w:r>
        <w:rPr>
          <w:rFonts w:hint="eastAsia" w:ascii="宋体" w:hAnsi="宋体" w:cs="宋体"/>
          <w:i w:val="0"/>
          <w:iCs w:val="0"/>
          <w:caps w:val="0"/>
          <w:color w:val="000000"/>
          <w:spacing w:val="0"/>
          <w:kern w:val="0"/>
          <w:sz w:val="24"/>
          <w:szCs w:val="24"/>
          <w:shd w:val="clear" w:fill="FFFFFF"/>
          <w:lang w:val="en-US" w:eastAsia="zh-CN" w:bidi="ar"/>
        </w:rPr>
        <w:t>。</w:t>
      </w:r>
    </w:p>
    <w:p w14:paraId="02554B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（三）不断加强政府信息管理。</w:t>
      </w:r>
      <w:r>
        <w:rPr>
          <w:rFonts w:hint="eastAsia" w:ascii="宋体" w:hAnsi="宋体" w:eastAsia="宋体" w:cs="宋体"/>
          <w:i w:val="0"/>
          <w:iCs w:val="0"/>
          <w:caps w:val="0"/>
          <w:color w:val="000000"/>
          <w:spacing w:val="0"/>
          <w:kern w:val="0"/>
          <w:sz w:val="24"/>
          <w:szCs w:val="24"/>
          <w:shd w:val="clear" w:fill="FFFFFF"/>
          <w:lang w:val="en-US" w:eastAsia="zh-CN" w:bidi="ar"/>
        </w:rPr>
        <w:t>不断加强政府信息资源的规范化、标准化、信息化管理，健全了适用于审计机关实际的政府信息公开工作制度</w:t>
      </w:r>
      <w:r>
        <w:rPr>
          <w:rFonts w:hint="eastAsia" w:ascii="宋体" w:hAnsi="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审批制度和政府信息管理机制，对因情势变化可以公开的政府信息</w:t>
      </w:r>
      <w:r>
        <w:rPr>
          <w:rFonts w:hint="eastAsia" w:ascii="宋体" w:hAnsi="宋体" w:cs="宋体"/>
          <w:i w:val="0"/>
          <w:iCs w:val="0"/>
          <w:caps w:val="0"/>
          <w:color w:val="000000"/>
          <w:spacing w:val="0"/>
          <w:kern w:val="0"/>
          <w:sz w:val="24"/>
          <w:szCs w:val="24"/>
          <w:shd w:val="clear" w:fill="FFFFFF"/>
          <w:lang w:val="en-US" w:eastAsia="zh-CN" w:bidi="ar"/>
        </w:rPr>
        <w:t>进行</w:t>
      </w:r>
      <w:r>
        <w:rPr>
          <w:rFonts w:hint="eastAsia" w:ascii="宋体" w:hAnsi="宋体" w:eastAsia="宋体" w:cs="宋体"/>
          <w:i w:val="0"/>
          <w:iCs w:val="0"/>
          <w:caps w:val="0"/>
          <w:color w:val="000000"/>
          <w:spacing w:val="0"/>
          <w:kern w:val="0"/>
          <w:sz w:val="24"/>
          <w:szCs w:val="24"/>
          <w:shd w:val="clear" w:fill="FFFFFF"/>
          <w:lang w:val="en-US" w:eastAsia="zh-CN" w:bidi="ar"/>
        </w:rPr>
        <w:t>公开</w:t>
      </w:r>
      <w:r>
        <w:rPr>
          <w:rFonts w:hint="eastAsia" w:ascii="宋体" w:hAnsi="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并指定专人负责本机关政府信息公开的日常工作。</w:t>
      </w:r>
    </w:p>
    <w:p w14:paraId="39D262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（四）充分利用政府信息公开平台建设。</w:t>
      </w:r>
      <w:r>
        <w:rPr>
          <w:rFonts w:hint="eastAsia" w:ascii="宋体" w:hAnsi="宋体" w:eastAsia="宋体" w:cs="宋体"/>
          <w:i w:val="0"/>
          <w:iCs w:val="0"/>
          <w:caps w:val="0"/>
          <w:color w:val="000000"/>
          <w:spacing w:val="0"/>
          <w:kern w:val="0"/>
          <w:sz w:val="24"/>
          <w:szCs w:val="24"/>
          <w:shd w:val="clear" w:fill="FFFFFF"/>
          <w:lang w:val="en-US" w:eastAsia="zh-CN" w:bidi="ar"/>
        </w:rPr>
        <w:t>对涉及公众利益调整、需要公众广泛知晓或者需要公众参与决策的政府信息</w:t>
      </w:r>
      <w:r>
        <w:rPr>
          <w:rFonts w:hint="eastAsia" w:ascii="宋体" w:hAnsi="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主动通过政府网站或者其他互联网政务媒体以及报刊等途径予以公开。</w:t>
      </w:r>
    </w:p>
    <w:p w14:paraId="68FC75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eastAsia" w:ascii="楷体_GB2312" w:eastAsia="楷体_GB2312"/>
          <w:sz w:val="32"/>
          <w:szCs w:val="32"/>
        </w:rPr>
      </w:pPr>
      <w:r>
        <w:rPr>
          <w:rFonts w:hint="eastAsia" w:ascii="楷体" w:hAnsi="楷体" w:eastAsia="楷体" w:cs="楷体"/>
          <w:i w:val="0"/>
          <w:iCs w:val="0"/>
          <w:caps w:val="0"/>
          <w:color w:val="000000"/>
          <w:spacing w:val="0"/>
          <w:kern w:val="0"/>
          <w:sz w:val="24"/>
          <w:szCs w:val="24"/>
          <w:shd w:val="clear" w:fill="FFFFFF"/>
          <w:lang w:val="en-US" w:eastAsia="zh-CN" w:bidi="ar"/>
        </w:rPr>
        <w:t>（五）稳步推进监督保障工作落地落实</w:t>
      </w:r>
      <w:r>
        <w:rPr>
          <w:rFonts w:ascii="仿宋_GB2312" w:hAnsi="Calibri" w:eastAsia="仿宋_GB2312" w:cs="仿宋_GB2312"/>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不断加强政府信息公开平台建设。将公开事项纳入办文程序，严格落实保密审查和逐级审核制度，切实把好政治关、政策关、文字关。将政府信息公开工作完成情况纳入局科室工作绩效考核，以考核督促相关工作按时办结。</w:t>
      </w:r>
    </w:p>
    <w:p w14:paraId="45191391">
      <w:pPr>
        <w:keepNext w:val="0"/>
        <w:keepLines w:val="0"/>
        <w:pageBreakBefore w:val="0"/>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p>
    <w:p w14:paraId="7B2C87DA">
      <w:pPr>
        <w:keepNext w:val="0"/>
        <w:keepLines w:val="0"/>
        <w:pageBreakBefore w:val="0"/>
        <w:numPr>
          <w:ilvl w:val="0"/>
          <w:numId w:val="1"/>
        </w:numPr>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主动公开政府信息情况</w:t>
      </w:r>
    </w:p>
    <w:p w14:paraId="45DEAA27">
      <w:pPr>
        <w:keepNext w:val="0"/>
        <w:keepLines w:val="0"/>
        <w:pageBreakBefore w:val="0"/>
        <w:numPr>
          <w:ilvl w:val="0"/>
          <w:numId w:val="0"/>
        </w:numPr>
        <w:kinsoku/>
        <w:wordWrap/>
        <w:overflowPunct/>
        <w:topLinePunct w:val="0"/>
        <w:autoSpaceDE/>
        <w:autoSpaceDN/>
        <w:bidi w:val="0"/>
        <w:adjustRightInd/>
        <w:snapToGrid/>
        <w:spacing w:line="577" w:lineRule="exact"/>
        <w:textAlignment w:val="auto"/>
        <w:rPr>
          <w:rFonts w:hint="eastAsia" w:ascii="宋体" w:hAnsi="宋体" w:eastAsia="宋体" w:cs="宋体"/>
          <w:b/>
          <w:bCs/>
          <w:sz w:val="24"/>
          <w:szCs w:val="24"/>
        </w:rPr>
      </w:pPr>
    </w:p>
    <w:tbl>
      <w:tblPr>
        <w:tblStyle w:val="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245"/>
        <w:gridCol w:w="2205"/>
        <w:gridCol w:w="2520"/>
      </w:tblGrid>
      <w:tr w14:paraId="39A16860">
        <w:trPr>
          <w:trHeight w:val="650" w:hRule="atLeast"/>
        </w:trPr>
        <w:tc>
          <w:tcPr>
            <w:tcW w:w="9100" w:type="dxa"/>
            <w:gridSpan w:val="4"/>
            <w:shd w:val="clear" w:color="auto" w:fill="auto"/>
            <w:noWrap w:val="0"/>
            <w:vAlign w:val="center"/>
          </w:tcPr>
          <w:p w14:paraId="476F5828">
            <w:pPr>
              <w:keepNext w:val="0"/>
              <w:keepLines w:val="0"/>
              <w:pageBreakBefore w:val="0"/>
              <w:kinsoku/>
              <w:wordWrap/>
              <w:overflowPunct/>
              <w:topLinePunct w:val="0"/>
              <w:autoSpaceDE/>
              <w:autoSpaceDN/>
              <w:bidi w:val="0"/>
              <w:adjustRightInd/>
              <w:snapToGrid/>
              <w:spacing w:line="577" w:lineRule="exact"/>
              <w:jc w:val="center"/>
              <w:textAlignment w:val="auto"/>
              <w:rPr>
                <w:color w:val="FFFFFF" w:themeColor="background1"/>
                <w:sz w:val="24"/>
                <w:szCs w:val="24"/>
                <w14:textFill>
                  <w14:solidFill>
                    <w14:schemeClr w14:val="bg1"/>
                  </w14:solidFill>
                </w14:textFill>
              </w:rPr>
            </w:pPr>
            <w:r>
              <w:rPr>
                <w:sz w:val="24"/>
                <w:szCs w:val="24"/>
              </w:rPr>
              <w:t>第二十条  第（一）项</w:t>
            </w:r>
          </w:p>
        </w:tc>
      </w:tr>
      <w:tr w14:paraId="28B64558">
        <w:trPr>
          <w:trHeight w:val="614" w:hRule="atLeast"/>
        </w:trPr>
        <w:tc>
          <w:tcPr>
            <w:tcW w:w="2130" w:type="dxa"/>
            <w:noWrap w:val="0"/>
            <w:vAlign w:val="center"/>
          </w:tcPr>
          <w:p w14:paraId="20A93B30">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信息内容</w:t>
            </w:r>
          </w:p>
        </w:tc>
        <w:tc>
          <w:tcPr>
            <w:tcW w:w="2245" w:type="dxa"/>
            <w:noWrap w:val="0"/>
            <w:vAlign w:val="center"/>
          </w:tcPr>
          <w:p w14:paraId="6FC9CF6D">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本年制发件数</w:t>
            </w:r>
          </w:p>
        </w:tc>
        <w:tc>
          <w:tcPr>
            <w:tcW w:w="2205" w:type="dxa"/>
            <w:noWrap w:val="0"/>
            <w:vAlign w:val="center"/>
          </w:tcPr>
          <w:p w14:paraId="24773BED">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本年废止件数</w:t>
            </w:r>
          </w:p>
        </w:tc>
        <w:tc>
          <w:tcPr>
            <w:tcW w:w="2520" w:type="dxa"/>
            <w:noWrap w:val="0"/>
            <w:vAlign w:val="center"/>
          </w:tcPr>
          <w:p w14:paraId="610C9C6B">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现行有效件数</w:t>
            </w:r>
          </w:p>
        </w:tc>
      </w:tr>
      <w:tr w14:paraId="1452E8BA">
        <w:trPr>
          <w:trHeight w:val="614" w:hRule="atLeast"/>
        </w:trPr>
        <w:tc>
          <w:tcPr>
            <w:tcW w:w="2130" w:type="dxa"/>
            <w:noWrap w:val="0"/>
            <w:vAlign w:val="center"/>
          </w:tcPr>
          <w:p w14:paraId="6006637F">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规章</w:t>
            </w:r>
          </w:p>
        </w:tc>
        <w:tc>
          <w:tcPr>
            <w:tcW w:w="2245" w:type="dxa"/>
            <w:noWrap w:val="0"/>
            <w:vAlign w:val="top"/>
          </w:tcPr>
          <w:p w14:paraId="52C621A0">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205" w:type="dxa"/>
            <w:noWrap w:val="0"/>
            <w:vAlign w:val="top"/>
          </w:tcPr>
          <w:p w14:paraId="72740B8B">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520" w:type="dxa"/>
            <w:noWrap w:val="0"/>
            <w:vAlign w:val="top"/>
          </w:tcPr>
          <w:p w14:paraId="28803029">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r w14:paraId="3B6C4293">
        <w:trPr>
          <w:trHeight w:val="614" w:hRule="atLeast"/>
        </w:trPr>
        <w:tc>
          <w:tcPr>
            <w:tcW w:w="2130" w:type="dxa"/>
            <w:noWrap w:val="0"/>
            <w:vAlign w:val="center"/>
          </w:tcPr>
          <w:p w14:paraId="2C69CE34">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行政规范性文件</w:t>
            </w:r>
          </w:p>
        </w:tc>
        <w:tc>
          <w:tcPr>
            <w:tcW w:w="2245" w:type="dxa"/>
            <w:noWrap w:val="0"/>
            <w:vAlign w:val="top"/>
          </w:tcPr>
          <w:p w14:paraId="62A6B9BE">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205" w:type="dxa"/>
            <w:noWrap w:val="0"/>
            <w:vAlign w:val="top"/>
          </w:tcPr>
          <w:p w14:paraId="498B1B85">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520" w:type="dxa"/>
            <w:noWrap w:val="0"/>
            <w:vAlign w:val="top"/>
          </w:tcPr>
          <w:p w14:paraId="5499DD74">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r w14:paraId="6A81D46F">
        <w:trPr>
          <w:trHeight w:val="614" w:hRule="atLeast"/>
        </w:trPr>
        <w:tc>
          <w:tcPr>
            <w:tcW w:w="9100" w:type="dxa"/>
            <w:gridSpan w:val="4"/>
            <w:shd w:val="clear" w:color="auto" w:fill="auto"/>
            <w:noWrap w:val="0"/>
            <w:vAlign w:val="center"/>
          </w:tcPr>
          <w:p w14:paraId="6E2CDE69">
            <w:pPr>
              <w:keepNext w:val="0"/>
              <w:keepLines w:val="0"/>
              <w:pageBreakBefore w:val="0"/>
              <w:kinsoku/>
              <w:wordWrap/>
              <w:overflowPunct/>
              <w:topLinePunct w:val="0"/>
              <w:autoSpaceDE/>
              <w:autoSpaceDN/>
              <w:bidi w:val="0"/>
              <w:adjustRightInd/>
              <w:snapToGrid/>
              <w:spacing w:line="577" w:lineRule="exact"/>
              <w:jc w:val="center"/>
              <w:textAlignment w:val="auto"/>
              <w:rPr>
                <w:color w:val="FFFFFF" w:themeColor="background1"/>
                <w:sz w:val="24"/>
                <w:szCs w:val="24"/>
                <w14:textFill>
                  <w14:solidFill>
                    <w14:schemeClr w14:val="bg1"/>
                  </w14:solidFill>
                </w14:textFill>
              </w:rPr>
            </w:pPr>
            <w:r>
              <w:rPr>
                <w:sz w:val="24"/>
                <w:szCs w:val="24"/>
              </w:rPr>
              <w:t>第二十条  第（五）项</w:t>
            </w:r>
          </w:p>
        </w:tc>
      </w:tr>
      <w:tr w14:paraId="71404497">
        <w:trPr>
          <w:trHeight w:val="770" w:hRule="atLeast"/>
        </w:trPr>
        <w:tc>
          <w:tcPr>
            <w:tcW w:w="2130" w:type="dxa"/>
            <w:noWrap w:val="0"/>
            <w:vAlign w:val="center"/>
          </w:tcPr>
          <w:p w14:paraId="64DB2C51">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信息内容</w:t>
            </w:r>
          </w:p>
        </w:tc>
        <w:tc>
          <w:tcPr>
            <w:tcW w:w="6970" w:type="dxa"/>
            <w:gridSpan w:val="3"/>
            <w:noWrap w:val="0"/>
            <w:vAlign w:val="center"/>
          </w:tcPr>
          <w:p w14:paraId="7F99D76F">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本年处理决定数量</w:t>
            </w:r>
          </w:p>
        </w:tc>
      </w:tr>
      <w:tr w14:paraId="0DE67402">
        <w:trPr>
          <w:trHeight w:val="614" w:hRule="atLeast"/>
        </w:trPr>
        <w:tc>
          <w:tcPr>
            <w:tcW w:w="2130" w:type="dxa"/>
            <w:noWrap w:val="0"/>
            <w:vAlign w:val="center"/>
          </w:tcPr>
          <w:p w14:paraId="42A73399">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行政许可</w:t>
            </w:r>
          </w:p>
        </w:tc>
        <w:tc>
          <w:tcPr>
            <w:tcW w:w="6970" w:type="dxa"/>
            <w:gridSpan w:val="3"/>
            <w:noWrap w:val="0"/>
            <w:vAlign w:val="top"/>
          </w:tcPr>
          <w:p w14:paraId="020BAE2F">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r w14:paraId="2C3C0E30">
        <w:trPr>
          <w:trHeight w:val="614" w:hRule="atLeast"/>
        </w:trPr>
        <w:tc>
          <w:tcPr>
            <w:tcW w:w="9100" w:type="dxa"/>
            <w:gridSpan w:val="4"/>
            <w:shd w:val="clear" w:color="auto" w:fill="auto"/>
            <w:noWrap w:val="0"/>
            <w:vAlign w:val="center"/>
          </w:tcPr>
          <w:p w14:paraId="5E9C3CC5">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第二十条  第（六）项</w:t>
            </w:r>
          </w:p>
        </w:tc>
      </w:tr>
      <w:tr w14:paraId="5CE388F7">
        <w:trPr>
          <w:trHeight w:val="614" w:hRule="atLeast"/>
        </w:trPr>
        <w:tc>
          <w:tcPr>
            <w:tcW w:w="2130" w:type="dxa"/>
            <w:noWrap w:val="0"/>
            <w:vAlign w:val="center"/>
          </w:tcPr>
          <w:p w14:paraId="57D5701D">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信息内容</w:t>
            </w:r>
          </w:p>
        </w:tc>
        <w:tc>
          <w:tcPr>
            <w:tcW w:w="6970" w:type="dxa"/>
            <w:gridSpan w:val="3"/>
            <w:noWrap w:val="0"/>
            <w:vAlign w:val="center"/>
          </w:tcPr>
          <w:p w14:paraId="2484129F">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本年处理决定数量</w:t>
            </w:r>
          </w:p>
        </w:tc>
      </w:tr>
      <w:tr w14:paraId="2726A328">
        <w:trPr>
          <w:trHeight w:val="614" w:hRule="atLeast"/>
        </w:trPr>
        <w:tc>
          <w:tcPr>
            <w:tcW w:w="2130" w:type="dxa"/>
            <w:noWrap w:val="0"/>
            <w:vAlign w:val="center"/>
          </w:tcPr>
          <w:p w14:paraId="20825F3C">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行政处罚</w:t>
            </w:r>
          </w:p>
        </w:tc>
        <w:tc>
          <w:tcPr>
            <w:tcW w:w="6970" w:type="dxa"/>
            <w:gridSpan w:val="3"/>
            <w:noWrap w:val="0"/>
            <w:vAlign w:val="top"/>
          </w:tcPr>
          <w:p w14:paraId="225629FF">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r w14:paraId="3658B12A">
        <w:trPr>
          <w:trHeight w:val="614" w:hRule="atLeast"/>
        </w:trPr>
        <w:tc>
          <w:tcPr>
            <w:tcW w:w="2130" w:type="dxa"/>
            <w:noWrap w:val="0"/>
            <w:vAlign w:val="center"/>
          </w:tcPr>
          <w:p w14:paraId="5AA1BA9E">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行政强制</w:t>
            </w:r>
          </w:p>
        </w:tc>
        <w:tc>
          <w:tcPr>
            <w:tcW w:w="6970" w:type="dxa"/>
            <w:gridSpan w:val="3"/>
            <w:noWrap w:val="0"/>
            <w:vAlign w:val="top"/>
          </w:tcPr>
          <w:p w14:paraId="0799C539">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r w14:paraId="15126032">
        <w:trPr>
          <w:trHeight w:val="614" w:hRule="atLeast"/>
        </w:trPr>
        <w:tc>
          <w:tcPr>
            <w:tcW w:w="9100" w:type="dxa"/>
            <w:gridSpan w:val="4"/>
            <w:shd w:val="clear" w:color="auto" w:fill="auto"/>
            <w:noWrap w:val="0"/>
            <w:vAlign w:val="center"/>
          </w:tcPr>
          <w:p w14:paraId="49C546CA">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第二十条  第（八）项</w:t>
            </w:r>
          </w:p>
        </w:tc>
      </w:tr>
      <w:tr w14:paraId="2A6B979E">
        <w:trPr>
          <w:trHeight w:val="770" w:hRule="atLeast"/>
        </w:trPr>
        <w:tc>
          <w:tcPr>
            <w:tcW w:w="2130" w:type="dxa"/>
            <w:noWrap w:val="0"/>
            <w:vAlign w:val="center"/>
          </w:tcPr>
          <w:p w14:paraId="214EACC9">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信息内容</w:t>
            </w:r>
          </w:p>
        </w:tc>
        <w:tc>
          <w:tcPr>
            <w:tcW w:w="6970" w:type="dxa"/>
            <w:gridSpan w:val="3"/>
            <w:noWrap w:val="0"/>
            <w:vAlign w:val="center"/>
          </w:tcPr>
          <w:p w14:paraId="1DDD29E1">
            <w:pPr>
              <w:keepNext w:val="0"/>
              <w:keepLines w:val="0"/>
              <w:pageBreakBefore w:val="0"/>
              <w:kinsoku/>
              <w:wordWrap/>
              <w:overflowPunct/>
              <w:topLinePunct w:val="0"/>
              <w:autoSpaceDE/>
              <w:autoSpaceDN/>
              <w:bidi w:val="0"/>
              <w:adjustRightInd/>
              <w:snapToGrid/>
              <w:spacing w:line="577" w:lineRule="exact"/>
              <w:jc w:val="center"/>
              <w:textAlignment w:val="auto"/>
              <w:rPr>
                <w:sz w:val="24"/>
                <w:szCs w:val="24"/>
              </w:rPr>
            </w:pPr>
            <w:r>
              <w:rPr>
                <w:sz w:val="24"/>
                <w:szCs w:val="24"/>
              </w:rPr>
              <w:t>本年收费金额（单位：万元）</w:t>
            </w:r>
          </w:p>
        </w:tc>
      </w:tr>
      <w:tr w14:paraId="2235CCD6">
        <w:trPr>
          <w:trHeight w:val="760" w:hRule="atLeast"/>
        </w:trPr>
        <w:tc>
          <w:tcPr>
            <w:tcW w:w="2130" w:type="dxa"/>
            <w:noWrap w:val="0"/>
            <w:vAlign w:val="center"/>
          </w:tcPr>
          <w:p w14:paraId="7F135D46">
            <w:pPr>
              <w:keepNext w:val="0"/>
              <w:keepLines w:val="0"/>
              <w:pageBreakBefore w:val="0"/>
              <w:kinsoku/>
              <w:wordWrap/>
              <w:overflowPunct/>
              <w:topLinePunct w:val="0"/>
              <w:autoSpaceDE/>
              <w:autoSpaceDN/>
              <w:bidi w:val="0"/>
              <w:adjustRightInd/>
              <w:snapToGrid/>
              <w:spacing w:line="577" w:lineRule="exact"/>
              <w:textAlignment w:val="auto"/>
              <w:rPr>
                <w:sz w:val="24"/>
                <w:szCs w:val="24"/>
              </w:rPr>
            </w:pPr>
            <w:r>
              <w:rPr>
                <w:sz w:val="24"/>
                <w:szCs w:val="24"/>
              </w:rPr>
              <w:t>行政事业性收费</w:t>
            </w:r>
          </w:p>
        </w:tc>
        <w:tc>
          <w:tcPr>
            <w:tcW w:w="6970" w:type="dxa"/>
            <w:gridSpan w:val="3"/>
            <w:noWrap w:val="0"/>
            <w:vAlign w:val="top"/>
          </w:tcPr>
          <w:p w14:paraId="7E6911D5">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sz w:val="24"/>
                <w:szCs w:val="24"/>
                <w:lang w:val="en-US" w:eastAsia="zh-CN"/>
              </w:rPr>
            </w:pPr>
            <w:r>
              <w:rPr>
                <w:rFonts w:hint="eastAsia"/>
                <w:sz w:val="24"/>
                <w:szCs w:val="24"/>
                <w:lang w:val="en-US" w:eastAsia="zh-CN"/>
              </w:rPr>
              <w:t>0</w:t>
            </w:r>
          </w:p>
        </w:tc>
      </w:tr>
    </w:tbl>
    <w:p w14:paraId="03CF8C50">
      <w:pPr>
        <w:keepNext w:val="0"/>
        <w:keepLines w:val="0"/>
        <w:pageBreakBefore w:val="0"/>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p>
    <w:p w14:paraId="5E38F291">
      <w:pPr>
        <w:keepNext w:val="0"/>
        <w:keepLines w:val="0"/>
        <w:pageBreakBefore w:val="0"/>
        <w:numPr>
          <w:ilvl w:val="0"/>
          <w:numId w:val="1"/>
        </w:numPr>
        <w:kinsoku/>
        <w:wordWrap/>
        <w:overflowPunct/>
        <w:topLinePunct w:val="0"/>
        <w:autoSpaceDE/>
        <w:autoSpaceDN/>
        <w:bidi w:val="0"/>
        <w:adjustRightInd/>
        <w:snapToGrid/>
        <w:spacing w:line="577" w:lineRule="exact"/>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收到和处理政府信息公开申请情况</w:t>
      </w:r>
    </w:p>
    <w:p w14:paraId="3489421B">
      <w:pPr>
        <w:keepNext w:val="0"/>
        <w:keepLines w:val="0"/>
        <w:pageBreakBefore w:val="0"/>
        <w:numPr>
          <w:ilvl w:val="0"/>
          <w:numId w:val="0"/>
        </w:numPr>
        <w:kinsoku/>
        <w:wordWrap/>
        <w:overflowPunct/>
        <w:topLinePunct w:val="0"/>
        <w:autoSpaceDE/>
        <w:autoSpaceDN/>
        <w:bidi w:val="0"/>
        <w:adjustRightInd/>
        <w:snapToGrid/>
        <w:spacing w:line="577" w:lineRule="exact"/>
        <w:ind w:leftChars="200"/>
        <w:textAlignment w:val="auto"/>
        <w:rPr>
          <w:rFonts w:hint="eastAsia" w:ascii="宋体" w:hAnsi="宋体" w:eastAsia="宋体" w:cs="宋体"/>
          <w:b/>
          <w:bCs/>
          <w:sz w:val="24"/>
          <w:szCs w:val="24"/>
        </w:rPr>
      </w:pPr>
    </w:p>
    <w:tbl>
      <w:tblPr>
        <w:tblStyle w:val="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53"/>
        <w:gridCol w:w="2757"/>
        <w:gridCol w:w="552"/>
        <w:gridCol w:w="630"/>
        <w:gridCol w:w="630"/>
        <w:gridCol w:w="628"/>
        <w:gridCol w:w="839"/>
        <w:gridCol w:w="738"/>
        <w:gridCol w:w="838"/>
      </w:tblGrid>
      <w:tr w14:paraId="4DB2A883">
        <w:trPr>
          <w:trHeight w:val="339" w:hRule="atLeast"/>
        </w:trPr>
        <w:tc>
          <w:tcPr>
            <w:tcW w:w="4242" w:type="dxa"/>
            <w:gridSpan w:val="3"/>
            <w:vMerge w:val="restart"/>
            <w:tcBorders>
              <w:top w:val="single" w:color="auto" w:sz="4" w:space="0"/>
              <w:left w:val="single" w:color="auto" w:sz="4" w:space="0"/>
              <w:bottom w:val="nil"/>
              <w:right w:val="single" w:color="auto" w:sz="4" w:space="0"/>
            </w:tcBorders>
            <w:noWrap w:val="0"/>
            <w:vAlign w:val="center"/>
          </w:tcPr>
          <w:p w14:paraId="70F49363">
            <w:pPr>
              <w:keepNext w:val="0"/>
              <w:keepLines w:val="0"/>
              <w:pageBreakBefore w:val="0"/>
              <w:kinsoku/>
              <w:wordWrap/>
              <w:overflowPunct/>
              <w:topLinePunct w:val="0"/>
              <w:autoSpaceDE/>
              <w:autoSpaceDN/>
              <w:bidi w:val="0"/>
              <w:adjustRightInd/>
              <w:snapToGrid/>
              <w:spacing w:line="577" w:lineRule="exact"/>
              <w:textAlignment w:val="auto"/>
              <w:rPr>
                <w:rFonts w:hint="eastAsia" w:ascii="楷体_GB2312" w:eastAsia="楷体_GB2312"/>
              </w:rPr>
            </w:pPr>
            <w:r>
              <w:rPr>
                <w:rFonts w:hint="eastAsia" w:ascii="楷体_GB2312" w:eastAsia="楷体_GB2312"/>
              </w:rPr>
              <w:t>（本列数据的勾稽关系为：第一项加第二项之和，等于第三项加第四项之和）</w:t>
            </w:r>
          </w:p>
        </w:tc>
        <w:tc>
          <w:tcPr>
            <w:tcW w:w="4855" w:type="dxa"/>
            <w:gridSpan w:val="7"/>
            <w:tcBorders>
              <w:top w:val="single" w:color="auto" w:sz="4" w:space="0"/>
              <w:left w:val="single" w:color="auto" w:sz="4" w:space="0"/>
              <w:bottom w:val="single" w:color="auto" w:sz="4" w:space="0"/>
              <w:right w:val="single" w:color="auto" w:sz="4" w:space="0"/>
            </w:tcBorders>
            <w:noWrap w:val="0"/>
            <w:vAlign w:val="top"/>
          </w:tcPr>
          <w:p w14:paraId="54FE2E72">
            <w:pPr>
              <w:keepNext w:val="0"/>
              <w:keepLines w:val="0"/>
              <w:pageBreakBefore w:val="0"/>
              <w:kinsoku/>
              <w:wordWrap/>
              <w:overflowPunct/>
              <w:topLinePunct w:val="0"/>
              <w:autoSpaceDE/>
              <w:autoSpaceDN/>
              <w:bidi w:val="0"/>
              <w:adjustRightInd/>
              <w:snapToGrid/>
              <w:spacing w:line="577" w:lineRule="exact"/>
              <w:ind w:firstLine="2118" w:firstLineChars="1177"/>
              <w:textAlignment w:val="auto"/>
              <w:rPr>
                <w:sz w:val="18"/>
                <w:szCs w:val="18"/>
              </w:rPr>
            </w:pPr>
            <w:r>
              <w:rPr>
                <w:sz w:val="18"/>
                <w:szCs w:val="18"/>
              </w:rPr>
              <w:t>申请人情况</w:t>
            </w:r>
          </w:p>
        </w:tc>
      </w:tr>
      <w:tr w14:paraId="1BC4B685">
        <w:trPr>
          <w:trHeight w:val="458" w:hRule="atLeast"/>
        </w:trPr>
        <w:tc>
          <w:tcPr>
            <w:tcW w:w="4242" w:type="dxa"/>
            <w:gridSpan w:val="3"/>
            <w:vMerge w:val="continue"/>
            <w:tcBorders>
              <w:left w:val="single" w:color="auto" w:sz="4" w:space="0"/>
              <w:bottom w:val="nil"/>
              <w:right w:val="single" w:color="auto" w:sz="4" w:space="0"/>
            </w:tcBorders>
            <w:noWrap w:val="0"/>
            <w:vAlign w:val="top"/>
          </w:tcPr>
          <w:p w14:paraId="144E2138">
            <w:pPr>
              <w:keepNext w:val="0"/>
              <w:keepLines w:val="0"/>
              <w:pageBreakBefore w:val="0"/>
              <w:kinsoku/>
              <w:wordWrap/>
              <w:overflowPunct/>
              <w:topLinePunct w:val="0"/>
              <w:autoSpaceDE/>
              <w:autoSpaceDN/>
              <w:bidi w:val="0"/>
              <w:adjustRightInd/>
              <w:snapToGrid/>
              <w:spacing w:line="577" w:lineRule="exact"/>
              <w:textAlignment w:val="auto"/>
            </w:pP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14:paraId="1D29FC9F">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自然人</w:t>
            </w:r>
          </w:p>
        </w:tc>
        <w:tc>
          <w:tcPr>
            <w:tcW w:w="3465" w:type="dxa"/>
            <w:gridSpan w:val="5"/>
            <w:tcBorders>
              <w:top w:val="single" w:color="auto" w:sz="4" w:space="0"/>
              <w:left w:val="single" w:color="auto" w:sz="4" w:space="0"/>
              <w:bottom w:val="single" w:color="auto" w:sz="4" w:space="0"/>
              <w:right w:val="single" w:color="auto" w:sz="4" w:space="0"/>
            </w:tcBorders>
            <w:noWrap w:val="0"/>
            <w:vAlign w:val="top"/>
          </w:tcPr>
          <w:p w14:paraId="57992ABB">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法人或其他组织</w:t>
            </w:r>
          </w:p>
        </w:tc>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14:paraId="40FA270B">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总计</w:t>
            </w:r>
          </w:p>
        </w:tc>
      </w:tr>
      <w:tr w14:paraId="0393B942">
        <w:tc>
          <w:tcPr>
            <w:tcW w:w="4242" w:type="dxa"/>
            <w:gridSpan w:val="3"/>
            <w:vMerge w:val="continue"/>
            <w:tcBorders>
              <w:left w:val="single" w:color="auto" w:sz="4" w:space="0"/>
              <w:bottom w:val="single" w:color="auto" w:sz="4" w:space="0"/>
              <w:right w:val="single" w:color="auto" w:sz="4" w:space="0"/>
            </w:tcBorders>
            <w:noWrap w:val="0"/>
            <w:vAlign w:val="top"/>
          </w:tcPr>
          <w:p w14:paraId="230D7318">
            <w:pPr>
              <w:keepNext w:val="0"/>
              <w:keepLines w:val="0"/>
              <w:pageBreakBefore w:val="0"/>
              <w:kinsoku/>
              <w:wordWrap/>
              <w:overflowPunct/>
              <w:topLinePunct w:val="0"/>
              <w:autoSpaceDE/>
              <w:autoSpaceDN/>
              <w:bidi w:val="0"/>
              <w:adjustRightInd/>
              <w:snapToGrid/>
              <w:spacing w:line="577" w:lineRule="exact"/>
              <w:textAlignment w:val="auto"/>
            </w:p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14:paraId="18C8DBE1">
            <w:pPr>
              <w:keepNext w:val="0"/>
              <w:keepLines w:val="0"/>
              <w:pageBreakBefore w:val="0"/>
              <w:kinsoku/>
              <w:wordWrap/>
              <w:overflowPunct/>
              <w:topLinePunct w:val="0"/>
              <w:autoSpaceDE/>
              <w:autoSpaceDN/>
              <w:bidi w:val="0"/>
              <w:adjustRightInd/>
              <w:snapToGrid/>
              <w:spacing w:line="577" w:lineRule="exact"/>
              <w:textAlignment w:val="auto"/>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5B033846">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商业企业</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5F36C72">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科研机构</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02AA9353">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社会公益组织</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278529C">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法律服务机构</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473A41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其他</w:t>
            </w:r>
          </w:p>
        </w:tc>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14:paraId="394A39C2">
            <w:pPr>
              <w:keepNext w:val="0"/>
              <w:keepLines w:val="0"/>
              <w:pageBreakBefore w:val="0"/>
              <w:kinsoku/>
              <w:wordWrap/>
              <w:overflowPunct/>
              <w:topLinePunct w:val="0"/>
              <w:autoSpaceDE/>
              <w:autoSpaceDN/>
              <w:bidi w:val="0"/>
              <w:adjustRightInd/>
              <w:snapToGrid/>
              <w:spacing w:line="577" w:lineRule="exact"/>
              <w:textAlignment w:val="auto"/>
            </w:pPr>
          </w:p>
        </w:tc>
      </w:tr>
      <w:tr w14:paraId="48BDFBE6">
        <w:trPr>
          <w:trHeight w:val="465"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14:paraId="758A8FD2">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一、本年新收政府信息公开申请数量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14:paraId="143D9273">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F3D4D23">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4A209F19">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6D57F651">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784C2FE1">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1622C89E">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3BFF2E82">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r>
      <w:tr w14:paraId="7280DDE3">
        <w:trPr>
          <w:trHeight w:val="458"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14:paraId="3D577BEA">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二、上年结转政府信息公开申请数量</w:t>
            </w:r>
          </w:p>
        </w:tc>
        <w:tc>
          <w:tcPr>
            <w:tcW w:w="552" w:type="dxa"/>
            <w:tcBorders>
              <w:top w:val="single" w:color="auto" w:sz="4" w:space="0"/>
              <w:left w:val="single" w:color="auto" w:sz="4" w:space="0"/>
              <w:bottom w:val="single" w:color="auto" w:sz="4" w:space="0"/>
              <w:right w:val="single" w:color="auto" w:sz="4" w:space="0"/>
            </w:tcBorders>
            <w:noWrap w:val="0"/>
            <w:vAlign w:val="top"/>
          </w:tcPr>
          <w:p w14:paraId="070DEFBB">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97A72A2">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56759BB">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25E27BB">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45217ADA">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78B39FE0">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1BE3218D">
            <w:pPr>
              <w:keepNext w:val="0"/>
              <w:keepLines w:val="0"/>
              <w:pageBreakBefore w:val="0"/>
              <w:kinsoku/>
              <w:wordWrap/>
              <w:overflowPunct/>
              <w:topLinePunct w:val="0"/>
              <w:autoSpaceDE/>
              <w:autoSpaceDN/>
              <w:bidi w:val="0"/>
              <w:adjustRightInd/>
              <w:snapToGrid/>
              <w:spacing w:line="577" w:lineRule="exact"/>
              <w:jc w:val="center"/>
              <w:textAlignment w:val="auto"/>
              <w:rPr>
                <w:rFonts w:hint="eastAsia" w:eastAsia="宋体"/>
                <w:lang w:val="en-US" w:eastAsia="zh-CN"/>
              </w:rPr>
            </w:pPr>
            <w:r>
              <w:rPr>
                <w:rFonts w:hint="eastAsia"/>
                <w:lang w:val="en-US" w:eastAsia="zh-CN"/>
              </w:rPr>
              <w:t>0</w:t>
            </w:r>
          </w:p>
        </w:tc>
      </w:tr>
      <w:tr w14:paraId="73DBF85E">
        <w:trPr>
          <w:trHeight w:val="458" w:hRule="atLeast"/>
        </w:trPr>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14:paraId="1576566E">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三、本年度办理结果</w:t>
            </w: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272940CF">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（一）予以公开</w:t>
            </w:r>
          </w:p>
        </w:tc>
        <w:tc>
          <w:tcPr>
            <w:tcW w:w="552" w:type="dxa"/>
            <w:tcBorders>
              <w:top w:val="single" w:color="auto" w:sz="4" w:space="0"/>
              <w:left w:val="single" w:color="auto" w:sz="4" w:space="0"/>
              <w:bottom w:val="single" w:color="auto" w:sz="4" w:space="0"/>
              <w:right w:val="single" w:color="auto" w:sz="4" w:space="0"/>
            </w:tcBorders>
            <w:noWrap w:val="0"/>
            <w:vAlign w:val="top"/>
          </w:tcPr>
          <w:p w14:paraId="47196A4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C3A7F0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FA02E9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8EFE32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3A0377F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12E1258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9307D3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19649A2C">
        <w:trPr>
          <w:trHeight w:val="587"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04FDE637">
            <w:pPr>
              <w:keepNext w:val="0"/>
              <w:keepLines w:val="0"/>
              <w:pageBreakBefore w:val="0"/>
              <w:kinsoku/>
              <w:wordWrap/>
              <w:overflowPunct/>
              <w:topLinePunct w:val="0"/>
              <w:autoSpaceDE/>
              <w:autoSpaceDN/>
              <w:bidi w:val="0"/>
              <w:adjustRightInd/>
              <w:snapToGrid/>
              <w:spacing w:line="577" w:lineRule="exact"/>
              <w:textAlignment w:val="auto"/>
            </w:p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54A28D72">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（二）部分公开</w:t>
            </w:r>
            <w:r>
              <w:rPr>
                <w:rFonts w:hint="eastAsia" w:ascii="仿宋_GB2312" w:eastAsia="仿宋_GB2312"/>
                <w:sz w:val="18"/>
                <w:szCs w:val="18"/>
              </w:rPr>
              <w:t>（区分处理的，只计这一情况，不计其他情形）</w:t>
            </w:r>
          </w:p>
        </w:tc>
        <w:tc>
          <w:tcPr>
            <w:tcW w:w="552" w:type="dxa"/>
            <w:tcBorders>
              <w:top w:val="single" w:color="auto" w:sz="4" w:space="0"/>
              <w:left w:val="single" w:color="auto" w:sz="4" w:space="0"/>
              <w:bottom w:val="single" w:color="auto" w:sz="4" w:space="0"/>
              <w:right w:val="single" w:color="auto" w:sz="4" w:space="0"/>
            </w:tcBorders>
            <w:noWrap w:val="0"/>
            <w:vAlign w:val="top"/>
          </w:tcPr>
          <w:p w14:paraId="3B1F796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A34279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C6BD30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3DA55F5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288DC05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6C20C23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25F171E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557E14AC">
        <w:trPr>
          <w:trHeight w:val="26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5B935F08">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14:paraId="3C2927CC">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（三）不予公开</w:t>
            </w:r>
          </w:p>
        </w:tc>
        <w:tc>
          <w:tcPr>
            <w:tcW w:w="2757" w:type="dxa"/>
            <w:tcBorders>
              <w:top w:val="single" w:color="auto" w:sz="4" w:space="0"/>
              <w:left w:val="single" w:color="auto" w:sz="4" w:space="0"/>
              <w:bottom w:val="single" w:color="auto" w:sz="4" w:space="0"/>
              <w:right w:val="single" w:color="auto" w:sz="4" w:space="0"/>
            </w:tcBorders>
            <w:noWrap w:val="0"/>
            <w:vAlign w:val="top"/>
          </w:tcPr>
          <w:p w14:paraId="14D5514B">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1.属于国家秘密</w:t>
            </w:r>
          </w:p>
        </w:tc>
        <w:tc>
          <w:tcPr>
            <w:tcW w:w="552" w:type="dxa"/>
            <w:tcBorders>
              <w:top w:val="single" w:color="auto" w:sz="4" w:space="0"/>
              <w:left w:val="single" w:color="auto" w:sz="4" w:space="0"/>
              <w:bottom w:val="single" w:color="auto" w:sz="4" w:space="0"/>
              <w:right w:val="single" w:color="auto" w:sz="4" w:space="0"/>
            </w:tcBorders>
            <w:noWrap w:val="0"/>
            <w:vAlign w:val="top"/>
          </w:tcPr>
          <w:p w14:paraId="11DF2B2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3545D22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A8E4FE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04A3F03">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494AB97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13BE8AB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6B9D8DB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645041C5">
        <w:trPr>
          <w:trHeight w:val="25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409ACEC3">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51F45866">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001D4FA9">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2.其他法律行政法规禁止公开</w:t>
            </w:r>
          </w:p>
        </w:tc>
        <w:tc>
          <w:tcPr>
            <w:tcW w:w="552" w:type="dxa"/>
            <w:tcBorders>
              <w:top w:val="single" w:color="auto" w:sz="4" w:space="0"/>
              <w:left w:val="single" w:color="auto" w:sz="4" w:space="0"/>
              <w:bottom w:val="single" w:color="auto" w:sz="4" w:space="0"/>
              <w:right w:val="single" w:color="auto" w:sz="4" w:space="0"/>
            </w:tcBorders>
            <w:noWrap w:val="0"/>
            <w:vAlign w:val="top"/>
          </w:tcPr>
          <w:p w14:paraId="5C2CA11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FC0617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7D3B0A5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727AF01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5C16027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425E7B9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6E2B7D5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295D62F7">
        <w:trPr>
          <w:trHeight w:val="24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7B8542B9">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05B589AA">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6901D651">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3.危及</w:t>
            </w:r>
            <w:r>
              <w:rPr>
                <w:rFonts w:hint="eastAsia"/>
                <w:sz w:val="18"/>
                <w:szCs w:val="18"/>
              </w:rPr>
              <w:t>“</w:t>
            </w:r>
            <w:r>
              <w:rPr>
                <w:sz w:val="18"/>
                <w:szCs w:val="18"/>
              </w:rPr>
              <w:t>三安全一稳定</w:t>
            </w:r>
            <w:r>
              <w:rPr>
                <w:rFonts w:hint="eastAsia"/>
                <w:sz w:val="18"/>
                <w:szCs w:val="18"/>
              </w:rPr>
              <w:t>”</w:t>
            </w:r>
          </w:p>
        </w:tc>
        <w:tc>
          <w:tcPr>
            <w:tcW w:w="552" w:type="dxa"/>
            <w:tcBorders>
              <w:top w:val="single" w:color="auto" w:sz="4" w:space="0"/>
              <w:left w:val="single" w:color="auto" w:sz="4" w:space="0"/>
              <w:bottom w:val="single" w:color="auto" w:sz="4" w:space="0"/>
              <w:right w:val="single" w:color="auto" w:sz="4" w:space="0"/>
            </w:tcBorders>
            <w:noWrap w:val="0"/>
            <w:vAlign w:val="top"/>
          </w:tcPr>
          <w:p w14:paraId="5C17922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F384DF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90A850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63851D5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74E7AF9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464E7AD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70FE0CC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744C8FED">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4634C718">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4EAF11C0">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6BD98E1D">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4.保护第三方合法权益</w:t>
            </w:r>
          </w:p>
        </w:tc>
        <w:tc>
          <w:tcPr>
            <w:tcW w:w="552" w:type="dxa"/>
            <w:tcBorders>
              <w:top w:val="single" w:color="auto" w:sz="4" w:space="0"/>
              <w:left w:val="single" w:color="auto" w:sz="4" w:space="0"/>
              <w:bottom w:val="single" w:color="auto" w:sz="4" w:space="0"/>
              <w:right w:val="single" w:color="auto" w:sz="4" w:space="0"/>
            </w:tcBorders>
            <w:noWrap w:val="0"/>
            <w:vAlign w:val="top"/>
          </w:tcPr>
          <w:p w14:paraId="23C5F51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F4231C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431096F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567BBF0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224C7DD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4D0769E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74F52DC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70C53293">
        <w:trPr>
          <w:trHeight w:val="225"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54DE9CC4">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6E8B735B">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1165F925">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5.属于三类内容事务信息</w:t>
            </w:r>
          </w:p>
        </w:tc>
        <w:tc>
          <w:tcPr>
            <w:tcW w:w="552" w:type="dxa"/>
            <w:tcBorders>
              <w:top w:val="single" w:color="auto" w:sz="4" w:space="0"/>
              <w:left w:val="single" w:color="auto" w:sz="4" w:space="0"/>
              <w:bottom w:val="single" w:color="auto" w:sz="4" w:space="0"/>
              <w:right w:val="single" w:color="auto" w:sz="4" w:space="0"/>
            </w:tcBorders>
            <w:noWrap w:val="0"/>
            <w:vAlign w:val="top"/>
          </w:tcPr>
          <w:p w14:paraId="3CD9B2E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3D1BB3B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45EE47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482263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605ED5C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574C054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1A5385F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41FBFEDF">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1AAF56F5">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3663F93E">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1357F920">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6.属于四类过程性信息</w:t>
            </w:r>
          </w:p>
        </w:tc>
        <w:tc>
          <w:tcPr>
            <w:tcW w:w="552" w:type="dxa"/>
            <w:tcBorders>
              <w:top w:val="single" w:color="auto" w:sz="4" w:space="0"/>
              <w:left w:val="single" w:color="auto" w:sz="4" w:space="0"/>
              <w:bottom w:val="single" w:color="auto" w:sz="4" w:space="0"/>
              <w:right w:val="single" w:color="auto" w:sz="4" w:space="0"/>
            </w:tcBorders>
            <w:noWrap w:val="0"/>
            <w:vAlign w:val="top"/>
          </w:tcPr>
          <w:p w14:paraId="369470E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EDA3C2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8247C6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7866677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570EDD1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20B4EA7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7D33DB4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6B3EC153">
        <w:trPr>
          <w:trHeight w:val="361"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47934BCF">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2D8A44DB">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6BD922F7">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7.属于行政执法案卷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64A8D84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E3555B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5BACC8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73BBAA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26760AB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71189F8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5FBDA14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23C6FEE1">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1DA3B759">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14:paraId="3326EB0B">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299B1E97">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8.属于行政查询事项</w:t>
            </w:r>
          </w:p>
        </w:tc>
        <w:tc>
          <w:tcPr>
            <w:tcW w:w="552" w:type="dxa"/>
            <w:tcBorders>
              <w:top w:val="single" w:color="auto" w:sz="4" w:space="0"/>
              <w:left w:val="single" w:color="auto" w:sz="4" w:space="0"/>
              <w:bottom w:val="single" w:color="auto" w:sz="4" w:space="0"/>
              <w:right w:val="single" w:color="auto" w:sz="4" w:space="0"/>
            </w:tcBorders>
            <w:noWrap w:val="0"/>
            <w:vAlign w:val="top"/>
          </w:tcPr>
          <w:p w14:paraId="7049713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5F1CDB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5B80AB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22EF1E6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32E25CE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3A6E4D1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47C1965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3F08D705">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6D1F21E3">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14:paraId="7930B31F">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（四）无法提供</w:t>
            </w:r>
          </w:p>
        </w:tc>
        <w:tc>
          <w:tcPr>
            <w:tcW w:w="2757" w:type="dxa"/>
            <w:tcBorders>
              <w:top w:val="single" w:color="auto" w:sz="4" w:space="0"/>
              <w:left w:val="single" w:color="auto" w:sz="4" w:space="0"/>
              <w:bottom w:val="single" w:color="auto" w:sz="4" w:space="0"/>
              <w:right w:val="single" w:color="auto" w:sz="4" w:space="0"/>
            </w:tcBorders>
            <w:noWrap w:val="0"/>
            <w:vAlign w:val="top"/>
          </w:tcPr>
          <w:p w14:paraId="20B9C57A">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1.本机关不掌握相关政府信息</w:t>
            </w:r>
          </w:p>
        </w:tc>
        <w:tc>
          <w:tcPr>
            <w:tcW w:w="552" w:type="dxa"/>
            <w:tcBorders>
              <w:top w:val="single" w:color="auto" w:sz="4" w:space="0"/>
              <w:left w:val="single" w:color="auto" w:sz="4" w:space="0"/>
              <w:bottom w:val="single" w:color="auto" w:sz="4" w:space="0"/>
              <w:right w:val="single" w:color="auto" w:sz="4" w:space="0"/>
            </w:tcBorders>
            <w:noWrap w:val="0"/>
            <w:vAlign w:val="top"/>
          </w:tcPr>
          <w:p w14:paraId="1D05755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583F9C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97C3E9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2C6AE62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6F719CA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7FF1836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2576D95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2C385D47">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51F1B4FD">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055AE452">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1EE47350">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2.没有现成信息需要另行制作</w:t>
            </w:r>
          </w:p>
        </w:tc>
        <w:tc>
          <w:tcPr>
            <w:tcW w:w="552" w:type="dxa"/>
            <w:tcBorders>
              <w:top w:val="single" w:color="auto" w:sz="4" w:space="0"/>
              <w:left w:val="single" w:color="auto" w:sz="4" w:space="0"/>
              <w:bottom w:val="single" w:color="auto" w:sz="4" w:space="0"/>
              <w:right w:val="single" w:color="auto" w:sz="4" w:space="0"/>
            </w:tcBorders>
            <w:noWrap w:val="0"/>
            <w:vAlign w:val="top"/>
          </w:tcPr>
          <w:p w14:paraId="7B30FCC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4EDDB3B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2EA569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6500C81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7E7A35B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25454FF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280D7F4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5E906641">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2419C803">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1412F255">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7B0AFEFC">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3.补正后申请内容仍不明确</w:t>
            </w:r>
          </w:p>
        </w:tc>
        <w:tc>
          <w:tcPr>
            <w:tcW w:w="552" w:type="dxa"/>
            <w:tcBorders>
              <w:top w:val="single" w:color="auto" w:sz="4" w:space="0"/>
              <w:left w:val="single" w:color="auto" w:sz="4" w:space="0"/>
              <w:bottom w:val="single" w:color="auto" w:sz="4" w:space="0"/>
              <w:right w:val="single" w:color="auto" w:sz="4" w:space="0"/>
            </w:tcBorders>
            <w:noWrap w:val="0"/>
            <w:vAlign w:val="top"/>
          </w:tcPr>
          <w:p w14:paraId="6671C2E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BF8130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537F3D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C1B4C2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47DD549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3547AF2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6A44C70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2EE208A9">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46AA5423">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14:paraId="360533FD">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（五）不予处理</w:t>
            </w:r>
          </w:p>
        </w:tc>
        <w:tc>
          <w:tcPr>
            <w:tcW w:w="2757" w:type="dxa"/>
            <w:tcBorders>
              <w:top w:val="single" w:color="auto" w:sz="4" w:space="0"/>
              <w:left w:val="single" w:color="auto" w:sz="4" w:space="0"/>
              <w:bottom w:val="single" w:color="auto" w:sz="4" w:space="0"/>
              <w:right w:val="single" w:color="auto" w:sz="4" w:space="0"/>
            </w:tcBorders>
            <w:noWrap w:val="0"/>
            <w:vAlign w:val="top"/>
          </w:tcPr>
          <w:p w14:paraId="59754141">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1.信访举报投诉类申请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2FACFCC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78B1CA7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2C3357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DF3C53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2797C92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2D9516D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5C7B30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7A29F2DF">
        <w:trPr>
          <w:trHeight w:val="302"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672385DD">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12F9E9A1">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794E6186">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2.重复申请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06C3382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3E770C3">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2CB3B3E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6389C6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6E10054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6D98D18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318FC97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3EDFABA3">
        <w:trPr>
          <w:trHeight w:val="40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71EBFF11">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35095DF0">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32386C52">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3.要求提供公开出版物</w:t>
            </w:r>
          </w:p>
        </w:tc>
        <w:tc>
          <w:tcPr>
            <w:tcW w:w="552" w:type="dxa"/>
            <w:tcBorders>
              <w:top w:val="single" w:color="auto" w:sz="4" w:space="0"/>
              <w:left w:val="single" w:color="auto" w:sz="4" w:space="0"/>
              <w:bottom w:val="single" w:color="auto" w:sz="4" w:space="0"/>
              <w:right w:val="single" w:color="auto" w:sz="4" w:space="0"/>
            </w:tcBorders>
            <w:noWrap w:val="0"/>
            <w:vAlign w:val="top"/>
          </w:tcPr>
          <w:p w14:paraId="04BF158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0E45C5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7D4F383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31639DA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0945F73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372BB3B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58D21A9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1E528FF9">
        <w:trPr>
          <w:trHeight w:val="39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1AC8F478">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39753B59">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6802D13B">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4.无正当理由大量反复申请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1D8E9EB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6FC9D2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70625F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16FC3C5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6B3871F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5A4CD36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5E12D0D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3181CE86">
        <w:trPr>
          <w:trHeight w:val="680"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327A6945">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34C9FFBD">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3A3DA928">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5.要求行政机关确认或重新出具已获取信息</w:t>
            </w:r>
          </w:p>
        </w:tc>
        <w:tc>
          <w:tcPr>
            <w:tcW w:w="552" w:type="dxa"/>
            <w:tcBorders>
              <w:top w:val="single" w:color="auto" w:sz="4" w:space="0"/>
              <w:left w:val="single" w:color="auto" w:sz="4" w:space="0"/>
              <w:bottom w:val="single" w:color="auto" w:sz="4" w:space="0"/>
              <w:right w:val="single" w:color="auto" w:sz="4" w:space="0"/>
            </w:tcBorders>
            <w:noWrap w:val="0"/>
            <w:vAlign w:val="top"/>
          </w:tcPr>
          <w:p w14:paraId="5C2C8E3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3987C7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058CB55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5E43397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714BA683">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4624FCB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1833750E">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0A8436F0">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72C285C6">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14:paraId="076E276B">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（六）其他处理</w:t>
            </w:r>
          </w:p>
        </w:tc>
        <w:tc>
          <w:tcPr>
            <w:tcW w:w="2757" w:type="dxa"/>
            <w:tcBorders>
              <w:top w:val="single" w:color="auto" w:sz="4" w:space="0"/>
              <w:left w:val="single" w:color="auto" w:sz="4" w:space="0"/>
              <w:bottom w:val="single" w:color="auto" w:sz="4" w:space="0"/>
              <w:right w:val="single" w:color="auto" w:sz="4" w:space="0"/>
            </w:tcBorders>
            <w:noWrap w:val="0"/>
            <w:vAlign w:val="top"/>
          </w:tcPr>
          <w:p w14:paraId="4DD7BA45">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1.申请人无正当理由逾期不补正、行政机关不再处理其政府信息公开申请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7F6B8ED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318DED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4ACCC0E7">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9A1B54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31DAEF8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7900836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0CA051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77738308">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7CD18355">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4CBD098D">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3991927D">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2.申请人逾期未按收费通知要求缴纳费用、行政机关不再处理其政府信息公开申请</w:t>
            </w:r>
          </w:p>
        </w:tc>
        <w:tc>
          <w:tcPr>
            <w:tcW w:w="552" w:type="dxa"/>
            <w:tcBorders>
              <w:top w:val="single" w:color="auto" w:sz="4" w:space="0"/>
              <w:left w:val="single" w:color="auto" w:sz="4" w:space="0"/>
              <w:bottom w:val="single" w:color="auto" w:sz="4" w:space="0"/>
              <w:right w:val="single" w:color="auto" w:sz="4" w:space="0"/>
            </w:tcBorders>
            <w:noWrap w:val="0"/>
            <w:vAlign w:val="top"/>
          </w:tcPr>
          <w:p w14:paraId="76E3FE9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7EDC2D5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5708068">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D9C74A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5D74349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35701B4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06F4E79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6A41F92A">
        <w:trPr>
          <w:trHeight w:val="44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299DF914">
            <w:pPr>
              <w:keepNext w:val="0"/>
              <w:keepLines w:val="0"/>
              <w:pageBreakBefore w:val="0"/>
              <w:kinsoku/>
              <w:wordWrap/>
              <w:overflowPunct/>
              <w:topLinePunct w:val="0"/>
              <w:autoSpaceDE/>
              <w:autoSpaceDN/>
              <w:bidi w:val="0"/>
              <w:adjustRightInd/>
              <w:snapToGrid/>
              <w:spacing w:line="577" w:lineRule="exact"/>
              <w:textAlignment w:val="auto"/>
            </w:pPr>
          </w:p>
        </w:tc>
        <w:tc>
          <w:tcPr>
            <w:tcW w:w="753" w:type="dxa"/>
            <w:vMerge w:val="continue"/>
            <w:tcBorders>
              <w:top w:val="single" w:color="auto" w:sz="4" w:space="0"/>
              <w:left w:val="single" w:color="auto" w:sz="4" w:space="0"/>
              <w:bottom w:val="single" w:color="auto" w:sz="4" w:space="0"/>
              <w:right w:val="single" w:color="auto" w:sz="4" w:space="0"/>
            </w:tcBorders>
            <w:noWrap w:val="0"/>
            <w:vAlign w:val="top"/>
          </w:tcPr>
          <w:p w14:paraId="079A2A67">
            <w:pPr>
              <w:keepNext w:val="0"/>
              <w:keepLines w:val="0"/>
              <w:pageBreakBefore w:val="0"/>
              <w:kinsoku/>
              <w:wordWrap/>
              <w:overflowPunct/>
              <w:topLinePunct w:val="0"/>
              <w:autoSpaceDE/>
              <w:autoSpaceDN/>
              <w:bidi w:val="0"/>
              <w:adjustRightInd/>
              <w:snapToGrid/>
              <w:spacing w:line="577" w:lineRule="exact"/>
              <w:textAlignment w:val="auto"/>
            </w:pPr>
          </w:p>
        </w:tc>
        <w:tc>
          <w:tcPr>
            <w:tcW w:w="2757" w:type="dxa"/>
            <w:tcBorders>
              <w:top w:val="single" w:color="auto" w:sz="4" w:space="0"/>
              <w:left w:val="single" w:color="auto" w:sz="4" w:space="0"/>
              <w:bottom w:val="single" w:color="auto" w:sz="4" w:space="0"/>
              <w:right w:val="single" w:color="auto" w:sz="4" w:space="0"/>
            </w:tcBorders>
            <w:noWrap w:val="0"/>
            <w:vAlign w:val="top"/>
          </w:tcPr>
          <w:p w14:paraId="69D241D5">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3.其他</w:t>
            </w:r>
          </w:p>
        </w:tc>
        <w:tc>
          <w:tcPr>
            <w:tcW w:w="552" w:type="dxa"/>
            <w:tcBorders>
              <w:top w:val="single" w:color="auto" w:sz="4" w:space="0"/>
              <w:left w:val="single" w:color="auto" w:sz="4" w:space="0"/>
              <w:bottom w:val="single" w:color="auto" w:sz="4" w:space="0"/>
              <w:right w:val="single" w:color="auto" w:sz="4" w:space="0"/>
            </w:tcBorders>
            <w:noWrap w:val="0"/>
            <w:vAlign w:val="top"/>
          </w:tcPr>
          <w:p w14:paraId="783BF4A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6B1EB87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12698762">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B541D1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57A2450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7CDE698F">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307DAA14">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18DC9032">
        <w:trPr>
          <w:trHeight w:val="458" w:hRule="atLeast"/>
        </w:trPr>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14:paraId="4F431DC1">
            <w:pPr>
              <w:keepNext w:val="0"/>
              <w:keepLines w:val="0"/>
              <w:pageBreakBefore w:val="0"/>
              <w:kinsoku/>
              <w:wordWrap/>
              <w:overflowPunct/>
              <w:topLinePunct w:val="0"/>
              <w:autoSpaceDE/>
              <w:autoSpaceDN/>
              <w:bidi w:val="0"/>
              <w:adjustRightInd/>
              <w:snapToGrid/>
              <w:spacing w:line="577" w:lineRule="exact"/>
              <w:textAlignment w:val="auto"/>
            </w:pPr>
          </w:p>
        </w:tc>
        <w:tc>
          <w:tcPr>
            <w:tcW w:w="3510" w:type="dxa"/>
            <w:gridSpan w:val="2"/>
            <w:tcBorders>
              <w:top w:val="single" w:color="auto" w:sz="4" w:space="0"/>
              <w:left w:val="single" w:color="auto" w:sz="4" w:space="0"/>
              <w:bottom w:val="single" w:color="auto" w:sz="4" w:space="0"/>
              <w:right w:val="single" w:color="auto" w:sz="4" w:space="0"/>
            </w:tcBorders>
            <w:noWrap w:val="0"/>
            <w:vAlign w:val="top"/>
          </w:tcPr>
          <w:p w14:paraId="3A29802F">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（七）总计</w:t>
            </w:r>
          </w:p>
        </w:tc>
        <w:tc>
          <w:tcPr>
            <w:tcW w:w="552" w:type="dxa"/>
            <w:tcBorders>
              <w:top w:val="single" w:color="auto" w:sz="4" w:space="0"/>
              <w:left w:val="single" w:color="auto" w:sz="4" w:space="0"/>
              <w:bottom w:val="single" w:color="auto" w:sz="4" w:space="0"/>
              <w:right w:val="single" w:color="auto" w:sz="4" w:space="0"/>
            </w:tcBorders>
            <w:noWrap w:val="0"/>
            <w:vAlign w:val="top"/>
          </w:tcPr>
          <w:p w14:paraId="2945F50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7F95F55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34855DA1">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02AE116C">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36F02735">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4463C24D">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657500A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r w14:paraId="22F4825C">
        <w:trPr>
          <w:trHeight w:val="418" w:hRule="atLeast"/>
        </w:trPr>
        <w:tc>
          <w:tcPr>
            <w:tcW w:w="4242" w:type="dxa"/>
            <w:gridSpan w:val="3"/>
            <w:tcBorders>
              <w:top w:val="single" w:color="auto" w:sz="4" w:space="0"/>
              <w:left w:val="single" w:color="auto" w:sz="4" w:space="0"/>
              <w:bottom w:val="single" w:color="auto" w:sz="4" w:space="0"/>
              <w:right w:val="single" w:color="auto" w:sz="4" w:space="0"/>
            </w:tcBorders>
            <w:noWrap w:val="0"/>
            <w:vAlign w:val="top"/>
          </w:tcPr>
          <w:p w14:paraId="5023D55B">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四、结转下年度继续办理</w:t>
            </w:r>
          </w:p>
        </w:tc>
        <w:tc>
          <w:tcPr>
            <w:tcW w:w="552" w:type="dxa"/>
            <w:tcBorders>
              <w:top w:val="single" w:color="auto" w:sz="4" w:space="0"/>
              <w:left w:val="single" w:color="auto" w:sz="4" w:space="0"/>
              <w:bottom w:val="single" w:color="auto" w:sz="4" w:space="0"/>
              <w:right w:val="single" w:color="auto" w:sz="4" w:space="0"/>
            </w:tcBorders>
            <w:noWrap w:val="0"/>
            <w:vAlign w:val="top"/>
          </w:tcPr>
          <w:p w14:paraId="15C57CAA">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3ABC313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30" w:type="dxa"/>
            <w:tcBorders>
              <w:top w:val="single" w:color="auto" w:sz="4" w:space="0"/>
              <w:left w:val="single" w:color="auto" w:sz="4" w:space="0"/>
              <w:bottom w:val="single" w:color="auto" w:sz="4" w:space="0"/>
              <w:right w:val="single" w:color="auto" w:sz="4" w:space="0"/>
            </w:tcBorders>
            <w:noWrap w:val="0"/>
            <w:vAlign w:val="top"/>
          </w:tcPr>
          <w:p w14:paraId="5FA20BB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628" w:type="dxa"/>
            <w:tcBorders>
              <w:top w:val="single" w:color="auto" w:sz="4" w:space="0"/>
              <w:left w:val="single" w:color="auto" w:sz="4" w:space="0"/>
              <w:bottom w:val="single" w:color="auto" w:sz="4" w:space="0"/>
              <w:right w:val="single" w:color="auto" w:sz="4" w:space="0"/>
            </w:tcBorders>
            <w:noWrap w:val="0"/>
            <w:vAlign w:val="top"/>
          </w:tcPr>
          <w:p w14:paraId="34C2C4A0">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9" w:type="dxa"/>
            <w:tcBorders>
              <w:top w:val="single" w:color="auto" w:sz="4" w:space="0"/>
              <w:left w:val="single" w:color="auto" w:sz="4" w:space="0"/>
              <w:bottom w:val="single" w:color="auto" w:sz="4" w:space="0"/>
              <w:right w:val="single" w:color="auto" w:sz="4" w:space="0"/>
            </w:tcBorders>
            <w:noWrap w:val="0"/>
            <w:vAlign w:val="top"/>
          </w:tcPr>
          <w:p w14:paraId="3F700216">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738" w:type="dxa"/>
            <w:tcBorders>
              <w:top w:val="single" w:color="auto" w:sz="4" w:space="0"/>
              <w:left w:val="single" w:color="auto" w:sz="4" w:space="0"/>
              <w:bottom w:val="single" w:color="auto" w:sz="4" w:space="0"/>
              <w:right w:val="single" w:color="auto" w:sz="4" w:space="0"/>
            </w:tcBorders>
            <w:noWrap w:val="0"/>
            <w:vAlign w:val="top"/>
          </w:tcPr>
          <w:p w14:paraId="3BCC5389">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c>
          <w:tcPr>
            <w:tcW w:w="838" w:type="dxa"/>
            <w:tcBorders>
              <w:top w:val="single" w:color="auto" w:sz="4" w:space="0"/>
              <w:left w:val="single" w:color="auto" w:sz="4" w:space="0"/>
              <w:bottom w:val="single" w:color="auto" w:sz="4" w:space="0"/>
              <w:right w:val="single" w:color="auto" w:sz="4" w:space="0"/>
            </w:tcBorders>
            <w:noWrap w:val="0"/>
            <w:vAlign w:val="top"/>
          </w:tcPr>
          <w:p w14:paraId="16A964BB">
            <w:pPr>
              <w:keepNext w:val="0"/>
              <w:keepLines w:val="0"/>
              <w:pageBreakBefore w:val="0"/>
              <w:kinsoku/>
              <w:wordWrap/>
              <w:overflowPunct/>
              <w:topLinePunct w:val="0"/>
              <w:autoSpaceDE/>
              <w:autoSpaceDN/>
              <w:bidi w:val="0"/>
              <w:adjustRightInd/>
              <w:snapToGrid/>
              <w:spacing w:line="577" w:lineRule="exact"/>
              <w:jc w:val="center"/>
              <w:textAlignment w:val="auto"/>
            </w:pPr>
            <w:r>
              <w:rPr>
                <w:rFonts w:hint="eastAsia"/>
                <w:lang w:val="en-US" w:eastAsia="zh-CN"/>
              </w:rPr>
              <w:t>0</w:t>
            </w:r>
          </w:p>
        </w:tc>
      </w:tr>
    </w:tbl>
    <w:p w14:paraId="28703F7A">
      <w:pPr>
        <w:keepNext w:val="0"/>
        <w:keepLines w:val="0"/>
        <w:pageBreakBefore w:val="0"/>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p>
    <w:p w14:paraId="2086AE13">
      <w:pPr>
        <w:keepNext w:val="0"/>
        <w:keepLines w:val="0"/>
        <w:pageBreakBefore w:val="0"/>
        <w:numPr>
          <w:ilvl w:val="0"/>
          <w:numId w:val="1"/>
        </w:numPr>
        <w:kinsoku/>
        <w:wordWrap/>
        <w:overflowPunct/>
        <w:topLinePunct w:val="0"/>
        <w:autoSpaceDE/>
        <w:autoSpaceDN/>
        <w:bidi w:val="0"/>
        <w:adjustRightInd/>
        <w:snapToGrid/>
        <w:spacing w:line="577" w:lineRule="exact"/>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政府信息公开行政复议、行政诉讼情况</w:t>
      </w:r>
    </w:p>
    <w:p w14:paraId="1B945D6C">
      <w:pPr>
        <w:keepNext w:val="0"/>
        <w:keepLines w:val="0"/>
        <w:pageBreakBefore w:val="0"/>
        <w:numPr>
          <w:ilvl w:val="0"/>
          <w:numId w:val="0"/>
        </w:numPr>
        <w:kinsoku/>
        <w:wordWrap/>
        <w:overflowPunct/>
        <w:topLinePunct w:val="0"/>
        <w:autoSpaceDE/>
        <w:autoSpaceDN/>
        <w:bidi w:val="0"/>
        <w:adjustRightInd/>
        <w:snapToGrid/>
        <w:spacing w:line="577" w:lineRule="exact"/>
        <w:ind w:leftChars="200"/>
        <w:textAlignment w:val="auto"/>
        <w:rPr>
          <w:rFonts w:hint="eastAsia" w:ascii="宋体" w:hAnsi="宋体" w:eastAsia="宋体" w:cs="宋体"/>
          <w:b/>
          <w:bCs/>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653"/>
        <w:gridCol w:w="653"/>
        <w:gridCol w:w="482"/>
        <w:gridCol w:w="653"/>
        <w:gridCol w:w="653"/>
        <w:gridCol w:w="653"/>
        <w:gridCol w:w="653"/>
        <w:gridCol w:w="482"/>
        <w:gridCol w:w="654"/>
        <w:gridCol w:w="654"/>
        <w:gridCol w:w="654"/>
        <w:gridCol w:w="654"/>
        <w:gridCol w:w="483"/>
      </w:tblGrid>
      <w:tr w14:paraId="351F993D">
        <w:tc>
          <w:tcPr>
            <w:tcW w:w="0" w:type="auto"/>
            <w:gridSpan w:val="5"/>
            <w:tcBorders>
              <w:right w:val="single" w:color="auto" w:sz="4" w:space="0"/>
            </w:tcBorders>
            <w:noWrap w:val="0"/>
            <w:vAlign w:val="top"/>
          </w:tcPr>
          <w:p w14:paraId="0EB03921">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行政复议</w:t>
            </w:r>
          </w:p>
        </w:tc>
        <w:tc>
          <w:tcPr>
            <w:tcW w:w="0" w:type="auto"/>
            <w:gridSpan w:val="10"/>
            <w:tcBorders>
              <w:left w:val="single" w:color="auto" w:sz="4" w:space="0"/>
            </w:tcBorders>
            <w:noWrap w:val="0"/>
            <w:vAlign w:val="top"/>
          </w:tcPr>
          <w:p w14:paraId="23498FDA">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行政诉讼</w:t>
            </w:r>
          </w:p>
        </w:tc>
      </w:tr>
      <w:tr w14:paraId="6AB85632">
        <w:tc>
          <w:tcPr>
            <w:tcW w:w="0" w:type="auto"/>
            <w:vMerge w:val="restart"/>
            <w:tcBorders>
              <w:bottom w:val="nil"/>
            </w:tcBorders>
            <w:noWrap w:val="0"/>
            <w:vAlign w:val="center"/>
          </w:tcPr>
          <w:p w14:paraId="12D2C13E">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结果维持</w:t>
            </w:r>
          </w:p>
        </w:tc>
        <w:tc>
          <w:tcPr>
            <w:tcW w:w="0" w:type="auto"/>
            <w:vMerge w:val="restart"/>
            <w:tcBorders>
              <w:bottom w:val="nil"/>
            </w:tcBorders>
            <w:noWrap w:val="0"/>
            <w:vAlign w:val="center"/>
          </w:tcPr>
          <w:p w14:paraId="588591DC">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结果纠正</w:t>
            </w:r>
          </w:p>
        </w:tc>
        <w:tc>
          <w:tcPr>
            <w:tcW w:w="0" w:type="auto"/>
            <w:vMerge w:val="restart"/>
            <w:tcBorders>
              <w:bottom w:val="nil"/>
            </w:tcBorders>
            <w:noWrap w:val="0"/>
            <w:vAlign w:val="center"/>
          </w:tcPr>
          <w:p w14:paraId="4A002800">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其他结果</w:t>
            </w:r>
          </w:p>
        </w:tc>
        <w:tc>
          <w:tcPr>
            <w:tcW w:w="0" w:type="auto"/>
            <w:vMerge w:val="restart"/>
            <w:tcBorders>
              <w:bottom w:val="nil"/>
            </w:tcBorders>
            <w:noWrap w:val="0"/>
            <w:vAlign w:val="center"/>
          </w:tcPr>
          <w:p w14:paraId="4CADB5B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尚未审结</w:t>
            </w:r>
          </w:p>
        </w:tc>
        <w:tc>
          <w:tcPr>
            <w:tcW w:w="0" w:type="auto"/>
            <w:vMerge w:val="restart"/>
            <w:tcBorders>
              <w:bottom w:val="nil"/>
              <w:right w:val="single" w:color="auto" w:sz="4" w:space="0"/>
            </w:tcBorders>
            <w:noWrap w:val="0"/>
            <w:vAlign w:val="center"/>
          </w:tcPr>
          <w:p w14:paraId="41DEA830">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总计</w:t>
            </w:r>
          </w:p>
        </w:tc>
        <w:tc>
          <w:tcPr>
            <w:tcW w:w="0" w:type="auto"/>
            <w:gridSpan w:val="5"/>
            <w:tcBorders>
              <w:left w:val="single" w:color="auto" w:sz="4" w:space="0"/>
            </w:tcBorders>
            <w:noWrap w:val="0"/>
            <w:vAlign w:val="top"/>
          </w:tcPr>
          <w:p w14:paraId="3632659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未经复议直接起诉</w:t>
            </w:r>
          </w:p>
        </w:tc>
        <w:tc>
          <w:tcPr>
            <w:tcW w:w="0" w:type="auto"/>
            <w:gridSpan w:val="5"/>
            <w:noWrap w:val="0"/>
            <w:vAlign w:val="top"/>
          </w:tcPr>
          <w:p w14:paraId="3E2CC3F2">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sz w:val="18"/>
                <w:szCs w:val="18"/>
              </w:rPr>
              <w:t>复议后起诉</w:t>
            </w:r>
          </w:p>
        </w:tc>
      </w:tr>
      <w:tr w14:paraId="5E071381">
        <w:tc>
          <w:tcPr>
            <w:tcW w:w="0" w:type="auto"/>
            <w:vMerge w:val="continue"/>
            <w:noWrap w:val="0"/>
            <w:vAlign w:val="top"/>
          </w:tcPr>
          <w:p w14:paraId="00BD0243">
            <w:pPr>
              <w:keepNext w:val="0"/>
              <w:keepLines w:val="0"/>
              <w:pageBreakBefore w:val="0"/>
              <w:kinsoku/>
              <w:wordWrap/>
              <w:overflowPunct/>
              <w:topLinePunct w:val="0"/>
              <w:autoSpaceDE/>
              <w:autoSpaceDN/>
              <w:bidi w:val="0"/>
              <w:adjustRightInd/>
              <w:snapToGrid/>
              <w:spacing w:line="577" w:lineRule="exact"/>
              <w:textAlignment w:val="auto"/>
            </w:pPr>
          </w:p>
        </w:tc>
        <w:tc>
          <w:tcPr>
            <w:tcW w:w="0" w:type="auto"/>
            <w:vMerge w:val="continue"/>
            <w:noWrap w:val="0"/>
            <w:vAlign w:val="top"/>
          </w:tcPr>
          <w:p w14:paraId="2B26F19F">
            <w:pPr>
              <w:keepNext w:val="0"/>
              <w:keepLines w:val="0"/>
              <w:pageBreakBefore w:val="0"/>
              <w:kinsoku/>
              <w:wordWrap/>
              <w:overflowPunct/>
              <w:topLinePunct w:val="0"/>
              <w:autoSpaceDE/>
              <w:autoSpaceDN/>
              <w:bidi w:val="0"/>
              <w:adjustRightInd/>
              <w:snapToGrid/>
              <w:spacing w:line="577" w:lineRule="exact"/>
              <w:textAlignment w:val="auto"/>
            </w:pPr>
          </w:p>
        </w:tc>
        <w:tc>
          <w:tcPr>
            <w:tcW w:w="0" w:type="auto"/>
            <w:vMerge w:val="continue"/>
            <w:noWrap w:val="0"/>
            <w:vAlign w:val="top"/>
          </w:tcPr>
          <w:p w14:paraId="006DADF9">
            <w:pPr>
              <w:keepNext w:val="0"/>
              <w:keepLines w:val="0"/>
              <w:pageBreakBefore w:val="0"/>
              <w:kinsoku/>
              <w:wordWrap/>
              <w:overflowPunct/>
              <w:topLinePunct w:val="0"/>
              <w:autoSpaceDE/>
              <w:autoSpaceDN/>
              <w:bidi w:val="0"/>
              <w:adjustRightInd/>
              <w:snapToGrid/>
              <w:spacing w:line="577" w:lineRule="exact"/>
              <w:textAlignment w:val="auto"/>
            </w:pPr>
          </w:p>
        </w:tc>
        <w:tc>
          <w:tcPr>
            <w:tcW w:w="0" w:type="auto"/>
            <w:vMerge w:val="continue"/>
            <w:noWrap w:val="0"/>
            <w:vAlign w:val="top"/>
          </w:tcPr>
          <w:p w14:paraId="22AC7CBE">
            <w:pPr>
              <w:keepNext w:val="0"/>
              <w:keepLines w:val="0"/>
              <w:pageBreakBefore w:val="0"/>
              <w:kinsoku/>
              <w:wordWrap/>
              <w:overflowPunct/>
              <w:topLinePunct w:val="0"/>
              <w:autoSpaceDE/>
              <w:autoSpaceDN/>
              <w:bidi w:val="0"/>
              <w:adjustRightInd/>
              <w:snapToGrid/>
              <w:spacing w:line="577" w:lineRule="exact"/>
              <w:textAlignment w:val="auto"/>
            </w:pPr>
          </w:p>
        </w:tc>
        <w:tc>
          <w:tcPr>
            <w:tcW w:w="0" w:type="auto"/>
            <w:vMerge w:val="continue"/>
            <w:tcBorders>
              <w:right w:val="single" w:color="auto" w:sz="4" w:space="0"/>
            </w:tcBorders>
            <w:noWrap w:val="0"/>
            <w:vAlign w:val="top"/>
          </w:tcPr>
          <w:p w14:paraId="3F27BF84">
            <w:pPr>
              <w:keepNext w:val="0"/>
              <w:keepLines w:val="0"/>
              <w:pageBreakBefore w:val="0"/>
              <w:kinsoku/>
              <w:wordWrap/>
              <w:overflowPunct/>
              <w:topLinePunct w:val="0"/>
              <w:autoSpaceDE/>
              <w:autoSpaceDN/>
              <w:bidi w:val="0"/>
              <w:adjustRightInd/>
              <w:snapToGrid/>
              <w:spacing w:line="577" w:lineRule="exact"/>
              <w:textAlignment w:val="auto"/>
            </w:pPr>
          </w:p>
        </w:tc>
        <w:tc>
          <w:tcPr>
            <w:tcW w:w="0" w:type="auto"/>
            <w:noWrap w:val="0"/>
            <w:vAlign w:val="top"/>
          </w:tcPr>
          <w:p w14:paraId="6DBA0C8E">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结果维持</w:t>
            </w:r>
          </w:p>
        </w:tc>
        <w:tc>
          <w:tcPr>
            <w:tcW w:w="0" w:type="auto"/>
            <w:noWrap w:val="0"/>
            <w:vAlign w:val="top"/>
          </w:tcPr>
          <w:p w14:paraId="300A5820">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结果纠正</w:t>
            </w:r>
          </w:p>
        </w:tc>
        <w:tc>
          <w:tcPr>
            <w:tcW w:w="0" w:type="auto"/>
            <w:noWrap w:val="0"/>
            <w:vAlign w:val="top"/>
          </w:tcPr>
          <w:p w14:paraId="78FC9A6A">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其他结果</w:t>
            </w:r>
          </w:p>
        </w:tc>
        <w:tc>
          <w:tcPr>
            <w:tcW w:w="0" w:type="auto"/>
            <w:noWrap w:val="0"/>
            <w:vAlign w:val="top"/>
          </w:tcPr>
          <w:p w14:paraId="395489F2">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尚未审结</w:t>
            </w:r>
          </w:p>
        </w:tc>
        <w:tc>
          <w:tcPr>
            <w:tcW w:w="0" w:type="auto"/>
            <w:noWrap w:val="0"/>
            <w:vAlign w:val="top"/>
          </w:tcPr>
          <w:p w14:paraId="1442DB4A">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总计</w:t>
            </w:r>
          </w:p>
        </w:tc>
        <w:tc>
          <w:tcPr>
            <w:tcW w:w="0" w:type="auto"/>
            <w:noWrap w:val="0"/>
            <w:vAlign w:val="top"/>
          </w:tcPr>
          <w:p w14:paraId="4962E471">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结果维持</w:t>
            </w:r>
          </w:p>
        </w:tc>
        <w:tc>
          <w:tcPr>
            <w:tcW w:w="0" w:type="auto"/>
            <w:noWrap w:val="0"/>
            <w:vAlign w:val="top"/>
          </w:tcPr>
          <w:p w14:paraId="78214253">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结果纠正</w:t>
            </w:r>
          </w:p>
        </w:tc>
        <w:tc>
          <w:tcPr>
            <w:tcW w:w="0" w:type="auto"/>
            <w:noWrap w:val="0"/>
            <w:vAlign w:val="top"/>
          </w:tcPr>
          <w:p w14:paraId="48DC1C9D">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其他结果</w:t>
            </w:r>
          </w:p>
        </w:tc>
        <w:tc>
          <w:tcPr>
            <w:tcW w:w="0" w:type="auto"/>
            <w:noWrap w:val="0"/>
            <w:vAlign w:val="top"/>
          </w:tcPr>
          <w:p w14:paraId="7179900C">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尚未审结</w:t>
            </w:r>
          </w:p>
        </w:tc>
        <w:tc>
          <w:tcPr>
            <w:tcW w:w="0" w:type="auto"/>
            <w:noWrap w:val="0"/>
            <w:vAlign w:val="top"/>
          </w:tcPr>
          <w:p w14:paraId="3D18440E">
            <w:pPr>
              <w:keepNext w:val="0"/>
              <w:keepLines w:val="0"/>
              <w:pageBreakBefore w:val="0"/>
              <w:kinsoku/>
              <w:wordWrap/>
              <w:overflowPunct/>
              <w:topLinePunct w:val="0"/>
              <w:autoSpaceDE/>
              <w:autoSpaceDN/>
              <w:bidi w:val="0"/>
              <w:adjustRightInd/>
              <w:snapToGrid/>
              <w:spacing w:line="577" w:lineRule="exact"/>
              <w:textAlignment w:val="auto"/>
              <w:rPr>
                <w:sz w:val="18"/>
                <w:szCs w:val="18"/>
              </w:rPr>
            </w:pPr>
            <w:r>
              <w:rPr>
                <w:sz w:val="18"/>
                <w:szCs w:val="18"/>
              </w:rPr>
              <w:t>总计</w:t>
            </w:r>
          </w:p>
        </w:tc>
      </w:tr>
      <w:tr w14:paraId="61E055F8">
        <w:trPr>
          <w:trHeight w:val="550" w:hRule="atLeast"/>
        </w:trPr>
        <w:tc>
          <w:tcPr>
            <w:tcW w:w="653" w:type="dxa"/>
            <w:noWrap w:val="0"/>
            <w:vAlign w:val="top"/>
          </w:tcPr>
          <w:p w14:paraId="77D4D51B">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59701B66">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36745830">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154A2B5F">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482" w:type="dxa"/>
            <w:noWrap w:val="0"/>
            <w:vAlign w:val="top"/>
          </w:tcPr>
          <w:p w14:paraId="6A6AB083">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13EA6C3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2E001720">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4CDABED2">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3" w:type="dxa"/>
            <w:noWrap w:val="0"/>
            <w:vAlign w:val="top"/>
          </w:tcPr>
          <w:p w14:paraId="42A1919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482" w:type="dxa"/>
            <w:noWrap w:val="0"/>
            <w:vAlign w:val="top"/>
          </w:tcPr>
          <w:p w14:paraId="77392BA3">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4" w:type="dxa"/>
            <w:noWrap w:val="0"/>
            <w:vAlign w:val="top"/>
          </w:tcPr>
          <w:p w14:paraId="09122D8D">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4" w:type="dxa"/>
            <w:noWrap w:val="0"/>
            <w:vAlign w:val="top"/>
          </w:tcPr>
          <w:p w14:paraId="3411C949">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4" w:type="dxa"/>
            <w:noWrap w:val="0"/>
            <w:vAlign w:val="top"/>
          </w:tcPr>
          <w:p w14:paraId="28386CD0">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654" w:type="dxa"/>
            <w:noWrap w:val="0"/>
            <w:vAlign w:val="top"/>
          </w:tcPr>
          <w:p w14:paraId="687C2A18">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c>
          <w:tcPr>
            <w:tcW w:w="483" w:type="dxa"/>
            <w:noWrap w:val="0"/>
            <w:vAlign w:val="top"/>
          </w:tcPr>
          <w:p w14:paraId="570F5942">
            <w:pPr>
              <w:keepNext w:val="0"/>
              <w:keepLines w:val="0"/>
              <w:pageBreakBefore w:val="0"/>
              <w:kinsoku/>
              <w:wordWrap/>
              <w:overflowPunct/>
              <w:topLinePunct w:val="0"/>
              <w:autoSpaceDE/>
              <w:autoSpaceDN/>
              <w:bidi w:val="0"/>
              <w:adjustRightInd/>
              <w:snapToGrid/>
              <w:spacing w:line="577" w:lineRule="exact"/>
              <w:jc w:val="center"/>
              <w:textAlignment w:val="auto"/>
              <w:rPr>
                <w:sz w:val="18"/>
                <w:szCs w:val="18"/>
              </w:rPr>
            </w:pPr>
            <w:r>
              <w:rPr>
                <w:rFonts w:hint="eastAsia"/>
                <w:lang w:val="en-US" w:eastAsia="zh-CN"/>
              </w:rPr>
              <w:t>0</w:t>
            </w:r>
          </w:p>
        </w:tc>
      </w:tr>
    </w:tbl>
    <w:p w14:paraId="4E5CE5B8">
      <w:pPr>
        <w:keepNext w:val="0"/>
        <w:keepLines w:val="0"/>
        <w:pageBreakBefore w:val="0"/>
        <w:kinsoku/>
        <w:wordWrap/>
        <w:overflowPunct/>
        <w:topLinePunct w:val="0"/>
        <w:autoSpaceDE/>
        <w:autoSpaceDN/>
        <w:bidi w:val="0"/>
        <w:adjustRightInd/>
        <w:snapToGrid/>
        <w:spacing w:line="577" w:lineRule="exact"/>
        <w:textAlignment w:val="auto"/>
      </w:pPr>
    </w:p>
    <w:p w14:paraId="17DAAD46">
      <w:pPr>
        <w:keepNext w:val="0"/>
        <w:keepLines w:val="0"/>
        <w:pageBreakBefore w:val="0"/>
        <w:numPr>
          <w:ilvl w:val="0"/>
          <w:numId w:val="0"/>
        </w:numPr>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五、存在的主要问题及改进情况</w:t>
      </w:r>
    </w:p>
    <w:p w14:paraId="0F56CF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eastAsia" w:ascii="宋体" w:hAnsi="宋体" w:cs="宋体"/>
          <w:i w:val="0"/>
          <w:iCs w:val="0"/>
          <w:caps w:val="0"/>
          <w:color w:val="000000"/>
          <w:spacing w:val="0"/>
          <w:kern w:val="0"/>
          <w:sz w:val="24"/>
          <w:szCs w:val="24"/>
          <w:shd w:val="clear" w:fill="FFFFFF"/>
          <w:lang w:val="en-US" w:eastAsia="zh-CN" w:bidi="ar"/>
        </w:rPr>
      </w:pPr>
      <w:r>
        <w:rPr>
          <w:rFonts w:hint="eastAsia" w:ascii="宋体" w:hAnsi="宋体" w:cs="宋体"/>
          <w:i w:val="0"/>
          <w:iCs w:val="0"/>
          <w:caps w:val="0"/>
          <w:color w:val="000000"/>
          <w:spacing w:val="0"/>
          <w:sz w:val="24"/>
          <w:szCs w:val="24"/>
          <w:shd w:val="clear" w:fill="FFFFFF"/>
          <w:lang w:eastAsia="zh-CN"/>
        </w:rPr>
        <w:t>2024</w:t>
      </w:r>
      <w:r>
        <w:rPr>
          <w:rFonts w:hint="eastAsia" w:ascii="宋体" w:hAnsi="宋体" w:eastAsia="宋体" w:cs="宋体"/>
          <w:i w:val="0"/>
          <w:iCs w:val="0"/>
          <w:caps w:val="0"/>
          <w:color w:val="000000"/>
          <w:spacing w:val="0"/>
          <w:sz w:val="24"/>
          <w:szCs w:val="24"/>
          <w:shd w:val="clear" w:fill="FFFFFF"/>
        </w:rPr>
        <w:t>年，我局在政府信息公开上取得了一定</w:t>
      </w:r>
      <w:r>
        <w:rPr>
          <w:rFonts w:hint="eastAsia" w:ascii="宋体" w:hAnsi="宋体" w:cs="宋体"/>
          <w:i w:val="0"/>
          <w:iCs w:val="0"/>
          <w:caps w:val="0"/>
          <w:color w:val="000000"/>
          <w:spacing w:val="0"/>
          <w:sz w:val="24"/>
          <w:szCs w:val="24"/>
          <w:shd w:val="clear" w:fill="FFFFFF"/>
          <w:lang w:eastAsia="zh-CN"/>
        </w:rPr>
        <w:t>进步</w:t>
      </w:r>
      <w:r>
        <w:rPr>
          <w:rFonts w:hint="eastAsia" w:ascii="宋体" w:hAnsi="宋体" w:eastAsia="宋体" w:cs="宋体"/>
          <w:i w:val="0"/>
          <w:iCs w:val="0"/>
          <w:caps w:val="0"/>
          <w:color w:val="000000"/>
          <w:spacing w:val="0"/>
          <w:sz w:val="24"/>
          <w:szCs w:val="24"/>
          <w:shd w:val="clear" w:fill="FFFFFF"/>
        </w:rPr>
        <w:t>，但仍存在问题与不足，主要体现在主动公开的审计结果公告数量较少</w:t>
      </w:r>
      <w:r>
        <w:rPr>
          <w:rFonts w:hint="eastAsia" w:ascii="宋体" w:hAnsi="宋体" w:cs="宋体"/>
          <w:i w:val="0"/>
          <w:iCs w:val="0"/>
          <w:caps w:val="0"/>
          <w:color w:val="000000"/>
          <w:spacing w:val="0"/>
          <w:sz w:val="24"/>
          <w:szCs w:val="24"/>
          <w:shd w:val="clear" w:fill="FFFFFF"/>
          <w:lang w:eastAsia="zh-CN"/>
        </w:rPr>
        <w:t>，主要是因为</w:t>
      </w:r>
      <w:r>
        <w:rPr>
          <w:rFonts w:hint="eastAsia" w:ascii="宋体" w:hAnsi="宋体" w:eastAsia="宋体" w:cs="宋体"/>
          <w:i w:val="0"/>
          <w:iCs w:val="0"/>
          <w:caps w:val="0"/>
          <w:color w:val="000000"/>
          <w:spacing w:val="0"/>
          <w:kern w:val="0"/>
          <w:sz w:val="24"/>
          <w:szCs w:val="24"/>
          <w:shd w:val="clear" w:fill="FFFFFF"/>
          <w:lang w:val="en-US" w:eastAsia="zh-CN" w:bidi="ar"/>
        </w:rPr>
        <w:t>《中华人民共和国审计法》、《中华人民共和国保守国家秘密法》规定</w:t>
      </w:r>
      <w:r>
        <w:rPr>
          <w:rFonts w:hint="eastAsia" w:ascii="宋体" w:hAnsi="宋体" w:cs="宋体"/>
          <w:i w:val="0"/>
          <w:iCs w:val="0"/>
          <w:caps w:val="0"/>
          <w:color w:val="000000"/>
          <w:spacing w:val="0"/>
          <w:kern w:val="0"/>
          <w:sz w:val="24"/>
          <w:szCs w:val="24"/>
          <w:shd w:val="clear" w:fill="FFFFFF"/>
          <w:lang w:val="en-US" w:eastAsia="zh-CN" w:bidi="ar"/>
        </w:rPr>
        <w:t>审计业务有关事项</w:t>
      </w:r>
      <w:r>
        <w:rPr>
          <w:rFonts w:hint="eastAsia" w:ascii="宋体" w:hAnsi="宋体" w:eastAsia="宋体" w:cs="宋体"/>
          <w:i w:val="0"/>
          <w:iCs w:val="0"/>
          <w:caps w:val="0"/>
          <w:color w:val="000000"/>
          <w:spacing w:val="0"/>
          <w:kern w:val="0"/>
          <w:sz w:val="24"/>
          <w:szCs w:val="24"/>
          <w:shd w:val="clear" w:fill="FFFFFF"/>
          <w:lang w:val="en-US" w:eastAsia="zh-CN" w:bidi="ar"/>
        </w:rPr>
        <w:t>应当确定为工作秘密</w:t>
      </w:r>
      <w:r>
        <w:rPr>
          <w:rFonts w:hint="eastAsia" w:ascii="宋体" w:hAnsi="宋体" w:cs="宋体"/>
          <w:i w:val="0"/>
          <w:iCs w:val="0"/>
          <w:caps w:val="0"/>
          <w:color w:val="000000"/>
          <w:spacing w:val="0"/>
          <w:kern w:val="0"/>
          <w:sz w:val="24"/>
          <w:szCs w:val="24"/>
          <w:shd w:val="clear" w:fill="FFFFFF"/>
          <w:lang w:val="en-US" w:eastAsia="zh-CN" w:bidi="ar"/>
        </w:rPr>
        <w:t>，暂不能公布。</w:t>
      </w:r>
    </w:p>
    <w:p w14:paraId="159654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7" w:lineRule="exact"/>
        <w:ind w:left="0" w:right="0" w:firstLine="480"/>
        <w:jc w:val="both"/>
        <w:textAlignment w:val="auto"/>
        <w:rPr>
          <w:rFonts w:hint="eastAsia" w:ascii="仿宋_GB2312" w:eastAsia="仿宋_GB2312"/>
          <w:sz w:val="32"/>
          <w:szCs w:val="32"/>
        </w:rPr>
      </w:pPr>
      <w:r>
        <w:rPr>
          <w:rFonts w:hint="eastAsia" w:ascii="宋体" w:hAnsi="宋体" w:cs="宋体"/>
          <w:i w:val="0"/>
          <w:iCs w:val="0"/>
          <w:caps w:val="0"/>
          <w:color w:val="000000"/>
          <w:spacing w:val="0"/>
          <w:kern w:val="0"/>
          <w:sz w:val="24"/>
          <w:szCs w:val="24"/>
          <w:shd w:val="clear" w:fill="FFFFFF"/>
          <w:lang w:val="en-US" w:eastAsia="zh-CN" w:bidi="ar"/>
        </w:rPr>
        <w:t>针对存在的问题，我局将秉着“应公开、尽公开”的原则，在不违反</w:t>
      </w:r>
      <w:r>
        <w:rPr>
          <w:rFonts w:hint="eastAsia" w:ascii="宋体" w:hAnsi="宋体" w:eastAsia="宋体" w:cs="宋体"/>
          <w:i w:val="0"/>
          <w:iCs w:val="0"/>
          <w:caps w:val="0"/>
          <w:color w:val="000000"/>
          <w:spacing w:val="0"/>
          <w:kern w:val="0"/>
          <w:sz w:val="24"/>
          <w:szCs w:val="24"/>
          <w:shd w:val="clear" w:fill="FFFFFF"/>
          <w:lang w:val="en-US" w:eastAsia="zh-CN" w:bidi="ar"/>
        </w:rPr>
        <w:t>《中华人民共和国审计法》、《中华人民共和国保守国家秘密法》</w:t>
      </w:r>
      <w:r>
        <w:rPr>
          <w:rFonts w:hint="eastAsia" w:ascii="宋体" w:hAnsi="宋体" w:cs="宋体"/>
          <w:i w:val="0"/>
          <w:iCs w:val="0"/>
          <w:caps w:val="0"/>
          <w:color w:val="000000"/>
          <w:spacing w:val="0"/>
          <w:kern w:val="0"/>
          <w:sz w:val="24"/>
          <w:szCs w:val="24"/>
          <w:shd w:val="clear" w:fill="FFFFFF"/>
          <w:lang w:val="en-US" w:eastAsia="zh-CN" w:bidi="ar"/>
        </w:rPr>
        <w:t>前提下，严格落实</w:t>
      </w:r>
      <w:r>
        <w:rPr>
          <w:rFonts w:hint="eastAsia" w:ascii="宋体" w:hAnsi="宋体" w:eastAsia="宋体" w:cs="宋体"/>
          <w:i w:val="0"/>
          <w:iCs w:val="0"/>
          <w:caps w:val="0"/>
          <w:color w:val="000000"/>
          <w:spacing w:val="0"/>
          <w:sz w:val="24"/>
          <w:szCs w:val="24"/>
          <w:shd w:val="clear" w:fill="FFFFFF"/>
          <w:lang w:val="en-US" w:eastAsia="zh-CN"/>
        </w:rPr>
        <w:t>《中华人民共和国政府信息公开条例》</w:t>
      </w:r>
      <w:r>
        <w:rPr>
          <w:rFonts w:hint="eastAsia" w:ascii="宋体" w:hAnsi="宋体" w:cs="宋体"/>
          <w:i w:val="0"/>
          <w:iCs w:val="0"/>
          <w:caps w:val="0"/>
          <w:color w:val="000000"/>
          <w:spacing w:val="0"/>
          <w:kern w:val="0"/>
          <w:sz w:val="24"/>
          <w:szCs w:val="24"/>
          <w:shd w:val="clear" w:fill="FFFFFF"/>
          <w:lang w:val="en-US" w:eastAsia="zh-CN" w:bidi="ar"/>
        </w:rPr>
        <w:t>。</w:t>
      </w:r>
    </w:p>
    <w:p w14:paraId="70970CAF">
      <w:pPr>
        <w:keepNext w:val="0"/>
        <w:keepLines w:val="0"/>
        <w:pageBreakBefore w:val="0"/>
        <w:numPr>
          <w:ilvl w:val="0"/>
          <w:numId w:val="0"/>
        </w:numPr>
        <w:kinsoku/>
        <w:wordWrap/>
        <w:overflowPunct/>
        <w:topLinePunct w:val="0"/>
        <w:autoSpaceDE/>
        <w:autoSpaceDN/>
        <w:bidi w:val="0"/>
        <w:adjustRightInd/>
        <w:snapToGrid/>
        <w:spacing w:line="577"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六、其他需要报告的事项</w:t>
      </w:r>
    </w:p>
    <w:p w14:paraId="79D75D43">
      <w:pPr>
        <w:keepNext w:val="0"/>
        <w:keepLines w:val="0"/>
        <w:pageBreakBefore w:val="0"/>
        <w:kinsoku/>
        <w:wordWrap/>
        <w:overflowPunct/>
        <w:topLinePunct w:val="0"/>
        <w:autoSpaceDE/>
        <w:autoSpaceDN/>
        <w:bidi w:val="0"/>
        <w:adjustRightInd/>
        <w:snapToGrid/>
        <w:spacing w:line="577" w:lineRule="exact"/>
        <w:ind w:firstLine="480" w:firstLineChars="200"/>
        <w:textAlignment w:val="auto"/>
        <w:rPr>
          <w:rFonts w:hint="eastAsia" w:ascii="宋体" w:hAnsi="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我局无其他需要报告的事项</w:t>
      </w:r>
      <w:r>
        <w:rPr>
          <w:rFonts w:hint="eastAsia" w:ascii="宋体" w:hAnsi="宋体" w:cs="宋体"/>
          <w:i w:val="0"/>
          <w:iCs w:val="0"/>
          <w:caps w:val="0"/>
          <w:color w:val="000000"/>
          <w:spacing w:val="0"/>
          <w:sz w:val="24"/>
          <w:szCs w:val="24"/>
          <w:shd w:val="clear" w:fill="FFFFFF"/>
          <w:lang w:eastAsia="zh-CN"/>
        </w:rPr>
        <w:t>。</w:t>
      </w:r>
    </w:p>
    <w:p w14:paraId="3A2F72B5">
      <w:pPr>
        <w:keepNext w:val="0"/>
        <w:keepLines w:val="0"/>
        <w:pageBreakBefore w:val="0"/>
        <w:kinsoku/>
        <w:wordWrap/>
        <w:overflowPunct/>
        <w:topLinePunct w:val="0"/>
        <w:autoSpaceDE/>
        <w:autoSpaceDN/>
        <w:bidi w:val="0"/>
        <w:adjustRightInd/>
        <w:snapToGrid/>
        <w:spacing w:line="577" w:lineRule="exact"/>
        <w:ind w:firstLine="480" w:firstLineChars="200"/>
        <w:textAlignment w:val="auto"/>
        <w:rPr>
          <w:rFonts w:hint="eastAsia" w:ascii="宋体" w:hAnsi="宋体" w:cs="宋体"/>
          <w:i w:val="0"/>
          <w:iCs w:val="0"/>
          <w:caps w:val="0"/>
          <w:color w:val="000000"/>
          <w:spacing w:val="0"/>
          <w:sz w:val="24"/>
          <w:szCs w:val="24"/>
          <w:shd w:val="clear" w:fill="FFFFFF"/>
          <w:lang w:eastAsia="zh-CN"/>
        </w:rPr>
      </w:pPr>
    </w:p>
    <w:p w14:paraId="76F2D93E">
      <w:pPr>
        <w:keepNext w:val="0"/>
        <w:keepLines w:val="0"/>
        <w:pageBreakBefore w:val="0"/>
        <w:kinsoku/>
        <w:wordWrap/>
        <w:overflowPunct/>
        <w:topLinePunct w:val="0"/>
        <w:autoSpaceDE/>
        <w:autoSpaceDN/>
        <w:bidi w:val="0"/>
        <w:adjustRightInd/>
        <w:snapToGrid/>
        <w:spacing w:line="577" w:lineRule="exact"/>
        <w:ind w:firstLine="6000" w:firstLineChars="2500"/>
        <w:textAlignment w:val="auto"/>
        <w:rPr>
          <w:rFonts w:hint="eastAsia" w:ascii="宋体" w:hAnsi="宋体" w:cs="宋体"/>
          <w:i w:val="0"/>
          <w:iCs w:val="0"/>
          <w:caps w:val="0"/>
          <w:color w:val="000000"/>
          <w:spacing w:val="0"/>
          <w:sz w:val="24"/>
          <w:szCs w:val="24"/>
          <w:shd w:val="clear" w:fill="FFFFFF"/>
          <w:lang w:eastAsia="zh-CN"/>
        </w:rPr>
      </w:pPr>
      <w:r>
        <w:rPr>
          <w:rFonts w:hint="eastAsia" w:ascii="宋体" w:hAnsi="宋体" w:cs="宋体"/>
          <w:i w:val="0"/>
          <w:iCs w:val="0"/>
          <w:caps w:val="0"/>
          <w:color w:val="000000"/>
          <w:spacing w:val="0"/>
          <w:sz w:val="24"/>
          <w:szCs w:val="24"/>
          <w:shd w:val="clear" w:fill="FFFFFF"/>
          <w:lang w:eastAsia="zh-CN"/>
        </w:rPr>
        <w:t>白城市审计局</w:t>
      </w:r>
    </w:p>
    <w:p w14:paraId="3FBFA059">
      <w:pPr>
        <w:keepNext w:val="0"/>
        <w:keepLines w:val="0"/>
        <w:pageBreakBefore w:val="0"/>
        <w:kinsoku/>
        <w:wordWrap/>
        <w:overflowPunct/>
        <w:topLinePunct w:val="0"/>
        <w:autoSpaceDE/>
        <w:autoSpaceDN/>
        <w:bidi w:val="0"/>
        <w:adjustRightInd/>
        <w:snapToGrid/>
        <w:spacing w:line="577" w:lineRule="exact"/>
        <w:ind w:firstLine="5760" w:firstLineChars="2400"/>
        <w:textAlignment w:val="auto"/>
        <w:rPr>
          <w:rFonts w:hint="default"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2025</w:t>
      </w:r>
      <w:bookmarkStart w:id="0" w:name="_GoBack"/>
      <w:bookmarkEnd w:id="0"/>
      <w:r>
        <w:rPr>
          <w:rFonts w:hint="eastAsia" w:ascii="宋体" w:hAnsi="宋体" w:cs="宋体"/>
          <w:i w:val="0"/>
          <w:iCs w:val="0"/>
          <w:caps w:val="0"/>
          <w:color w:val="000000"/>
          <w:spacing w:val="0"/>
          <w:sz w:val="24"/>
          <w:szCs w:val="24"/>
          <w:shd w:val="clear" w:fill="FFFFFF"/>
          <w:lang w:val="en-US" w:eastAsia="zh-CN"/>
        </w:rPr>
        <w:t>年2月12日</w:t>
      </w:r>
    </w:p>
    <w:sectPr>
      <w:footerReference r:id="rId3" w:type="default"/>
      <w:footerReference r:id="rId4" w:type="even"/>
      <w:pgSz w:w="11907" w:h="16840"/>
      <w:pgMar w:top="1247"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87CA">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DA179">
                          <w:pPr>
                            <w:pStyle w:val="2"/>
                          </w:pPr>
                          <w:r>
                            <w:rPr>
                              <w:rStyle w:val="7"/>
                              <w:rFonts w:hint="eastAsia" w:ascii="宋体" w:hAnsi="宋体" w:eastAsia="宋体" w:cs="宋体"/>
                              <w:sz w:val="24"/>
                              <w:szCs w:val="24"/>
                            </w:rPr>
                            <w:fldChar w:fldCharType="begin"/>
                          </w:r>
                          <w:r>
                            <w:rPr>
                              <w:rStyle w:val="7"/>
                              <w:rFonts w:hint="eastAsia" w:ascii="宋体" w:hAnsi="宋体" w:eastAsia="宋体" w:cs="宋体"/>
                              <w:sz w:val="24"/>
                              <w:szCs w:val="24"/>
                            </w:rPr>
                            <w:instrText xml:space="preserve">Page</w:instrText>
                          </w:r>
                          <w:r>
                            <w:rPr>
                              <w:rStyle w:val="7"/>
                              <w:rFonts w:hint="eastAsia" w:ascii="宋体" w:hAnsi="宋体" w:eastAsia="宋体" w:cs="宋体"/>
                              <w:sz w:val="24"/>
                              <w:szCs w:val="24"/>
                            </w:rPr>
                            <w:fldChar w:fldCharType="separate"/>
                          </w:r>
                          <w:r>
                            <w:rPr>
                              <w:rStyle w:val="7"/>
                              <w:rFonts w:hint="eastAsia" w:ascii="宋体" w:hAnsi="宋体" w:eastAsia="宋体" w:cs="宋体"/>
                              <w:sz w:val="24"/>
                              <w:szCs w:val="24"/>
                            </w:rPr>
                            <w:t>8</w:t>
                          </w:r>
                          <w:r>
                            <w:rPr>
                              <w:rStyle w:val="7"/>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CDA179">
                    <w:pPr>
                      <w:pStyle w:val="2"/>
                    </w:pPr>
                    <w:r>
                      <w:rPr>
                        <w:rStyle w:val="7"/>
                        <w:rFonts w:hint="eastAsia" w:ascii="宋体" w:hAnsi="宋体" w:eastAsia="宋体" w:cs="宋体"/>
                        <w:sz w:val="24"/>
                        <w:szCs w:val="24"/>
                      </w:rPr>
                      <w:fldChar w:fldCharType="begin"/>
                    </w:r>
                    <w:r>
                      <w:rPr>
                        <w:rStyle w:val="7"/>
                        <w:rFonts w:hint="eastAsia" w:ascii="宋体" w:hAnsi="宋体" w:eastAsia="宋体" w:cs="宋体"/>
                        <w:sz w:val="24"/>
                        <w:szCs w:val="24"/>
                      </w:rPr>
                      <w:instrText xml:space="preserve">Page</w:instrText>
                    </w:r>
                    <w:r>
                      <w:rPr>
                        <w:rStyle w:val="7"/>
                        <w:rFonts w:hint="eastAsia" w:ascii="宋体" w:hAnsi="宋体" w:eastAsia="宋体" w:cs="宋体"/>
                        <w:sz w:val="24"/>
                        <w:szCs w:val="24"/>
                      </w:rPr>
                      <w:fldChar w:fldCharType="separate"/>
                    </w:r>
                    <w:r>
                      <w:rPr>
                        <w:rStyle w:val="7"/>
                        <w:rFonts w:hint="eastAsia" w:ascii="宋体" w:hAnsi="宋体" w:eastAsia="宋体" w:cs="宋体"/>
                        <w:sz w:val="24"/>
                        <w:szCs w:val="24"/>
                      </w:rPr>
                      <w:t>8</w:t>
                    </w:r>
                    <w:r>
                      <w:rPr>
                        <w:rStyle w:val="7"/>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2F18">
    <w:pPr>
      <w:pStyle w:val="2"/>
      <w:framePr w:wrap="around" w:vAnchor="text" w:hAnchor="margin" w:xAlign="right"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14:paraId="00F2DFDA">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EC346"/>
    <w:multiLevelType w:val="singleLevel"/>
    <w:tmpl w:val="CE4EC3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YTI3YzhjZDk3ZmI1ZGVlZTVkODhlYzAyMGQ4MDMifQ=="/>
    <w:docVar w:name="KSO_WPS_MARK_KEY" w:val="1a6ca718-914f-498f-a42e-f324d7eca9b6"/>
  </w:docVars>
  <w:rsids>
    <w:rsidRoot w:val="475457B7"/>
    <w:rsid w:val="003F07EB"/>
    <w:rsid w:val="008847A2"/>
    <w:rsid w:val="00DC772E"/>
    <w:rsid w:val="00EB0ACE"/>
    <w:rsid w:val="01051131"/>
    <w:rsid w:val="010E3A64"/>
    <w:rsid w:val="0156126F"/>
    <w:rsid w:val="01F84280"/>
    <w:rsid w:val="02205A33"/>
    <w:rsid w:val="02322C76"/>
    <w:rsid w:val="02412348"/>
    <w:rsid w:val="025C4F62"/>
    <w:rsid w:val="02892B63"/>
    <w:rsid w:val="02D72879"/>
    <w:rsid w:val="03323B24"/>
    <w:rsid w:val="0388663C"/>
    <w:rsid w:val="042C2C6A"/>
    <w:rsid w:val="046A66C2"/>
    <w:rsid w:val="047B384B"/>
    <w:rsid w:val="04E725CC"/>
    <w:rsid w:val="05031C1C"/>
    <w:rsid w:val="05097BA0"/>
    <w:rsid w:val="054419AC"/>
    <w:rsid w:val="05500334"/>
    <w:rsid w:val="055377A3"/>
    <w:rsid w:val="05575AC4"/>
    <w:rsid w:val="05AA1B80"/>
    <w:rsid w:val="05D82099"/>
    <w:rsid w:val="060B398C"/>
    <w:rsid w:val="065647D2"/>
    <w:rsid w:val="0677688D"/>
    <w:rsid w:val="06B64A6C"/>
    <w:rsid w:val="06D150F0"/>
    <w:rsid w:val="072B1D73"/>
    <w:rsid w:val="07BA6D83"/>
    <w:rsid w:val="07F55223"/>
    <w:rsid w:val="082B709E"/>
    <w:rsid w:val="08445BB0"/>
    <w:rsid w:val="085B2896"/>
    <w:rsid w:val="085D034F"/>
    <w:rsid w:val="088376DE"/>
    <w:rsid w:val="08AB6107"/>
    <w:rsid w:val="08CE7D92"/>
    <w:rsid w:val="0A05611E"/>
    <w:rsid w:val="0AEA2F6D"/>
    <w:rsid w:val="0AFC44AA"/>
    <w:rsid w:val="0B384E81"/>
    <w:rsid w:val="0B4D7158"/>
    <w:rsid w:val="0B5646A3"/>
    <w:rsid w:val="0B5856FC"/>
    <w:rsid w:val="0BC55E7E"/>
    <w:rsid w:val="0BFE768E"/>
    <w:rsid w:val="0C2106D2"/>
    <w:rsid w:val="0C335A90"/>
    <w:rsid w:val="0C9078FD"/>
    <w:rsid w:val="0D0A0FA8"/>
    <w:rsid w:val="0D1835EA"/>
    <w:rsid w:val="0D1F15BD"/>
    <w:rsid w:val="0D244E26"/>
    <w:rsid w:val="0D246118"/>
    <w:rsid w:val="0D5613EC"/>
    <w:rsid w:val="0DA87805"/>
    <w:rsid w:val="0E2208A2"/>
    <w:rsid w:val="0E252C04"/>
    <w:rsid w:val="0EC8358F"/>
    <w:rsid w:val="0EEB5B28"/>
    <w:rsid w:val="0F794915"/>
    <w:rsid w:val="0F957915"/>
    <w:rsid w:val="10C45EC2"/>
    <w:rsid w:val="10DD77C5"/>
    <w:rsid w:val="118714DF"/>
    <w:rsid w:val="120945EA"/>
    <w:rsid w:val="126017D9"/>
    <w:rsid w:val="12652293"/>
    <w:rsid w:val="126844B3"/>
    <w:rsid w:val="127952CC"/>
    <w:rsid w:val="12891287"/>
    <w:rsid w:val="12B2310A"/>
    <w:rsid w:val="133A7E6F"/>
    <w:rsid w:val="135A057D"/>
    <w:rsid w:val="13824654"/>
    <w:rsid w:val="14045069"/>
    <w:rsid w:val="154C4F1A"/>
    <w:rsid w:val="15960C7B"/>
    <w:rsid w:val="15A74787"/>
    <w:rsid w:val="15CC5D0C"/>
    <w:rsid w:val="15E433A4"/>
    <w:rsid w:val="167B5492"/>
    <w:rsid w:val="16826719"/>
    <w:rsid w:val="17035AAC"/>
    <w:rsid w:val="17A8653E"/>
    <w:rsid w:val="17C50FB3"/>
    <w:rsid w:val="18271835"/>
    <w:rsid w:val="18540686"/>
    <w:rsid w:val="189A3FE3"/>
    <w:rsid w:val="18E16C77"/>
    <w:rsid w:val="18E17A47"/>
    <w:rsid w:val="190C750B"/>
    <w:rsid w:val="194C013A"/>
    <w:rsid w:val="19713EB8"/>
    <w:rsid w:val="19DC5E37"/>
    <w:rsid w:val="19E3779A"/>
    <w:rsid w:val="19FA7F28"/>
    <w:rsid w:val="1A267F96"/>
    <w:rsid w:val="1A8472A0"/>
    <w:rsid w:val="1AAE63AE"/>
    <w:rsid w:val="1B3E4ADC"/>
    <w:rsid w:val="1C2F794E"/>
    <w:rsid w:val="1C817BB1"/>
    <w:rsid w:val="1CAD41B2"/>
    <w:rsid w:val="1CDC48B3"/>
    <w:rsid w:val="1D8965DF"/>
    <w:rsid w:val="1E2F6BAF"/>
    <w:rsid w:val="1E4569AA"/>
    <w:rsid w:val="1E4F7829"/>
    <w:rsid w:val="1EAF2572"/>
    <w:rsid w:val="1F971487"/>
    <w:rsid w:val="1FC2684A"/>
    <w:rsid w:val="2017555B"/>
    <w:rsid w:val="208E4B8B"/>
    <w:rsid w:val="20B02E89"/>
    <w:rsid w:val="20BD226D"/>
    <w:rsid w:val="20D05671"/>
    <w:rsid w:val="20D66AA1"/>
    <w:rsid w:val="21352234"/>
    <w:rsid w:val="21391D4A"/>
    <w:rsid w:val="21C1794F"/>
    <w:rsid w:val="22226F8F"/>
    <w:rsid w:val="22462CF1"/>
    <w:rsid w:val="225B49EE"/>
    <w:rsid w:val="22BC3B4B"/>
    <w:rsid w:val="22EF7C4D"/>
    <w:rsid w:val="22F131CE"/>
    <w:rsid w:val="2331088B"/>
    <w:rsid w:val="236B1CA1"/>
    <w:rsid w:val="24077797"/>
    <w:rsid w:val="242D5F16"/>
    <w:rsid w:val="243A3680"/>
    <w:rsid w:val="248D578B"/>
    <w:rsid w:val="24E0567E"/>
    <w:rsid w:val="25381095"/>
    <w:rsid w:val="25E0646B"/>
    <w:rsid w:val="25E802D7"/>
    <w:rsid w:val="271E149C"/>
    <w:rsid w:val="2726597F"/>
    <w:rsid w:val="27433CAF"/>
    <w:rsid w:val="2758059C"/>
    <w:rsid w:val="27AD7E4B"/>
    <w:rsid w:val="27B92C6D"/>
    <w:rsid w:val="27DC7823"/>
    <w:rsid w:val="280451E0"/>
    <w:rsid w:val="28137BB2"/>
    <w:rsid w:val="287901F8"/>
    <w:rsid w:val="29040757"/>
    <w:rsid w:val="290B62C6"/>
    <w:rsid w:val="29600580"/>
    <w:rsid w:val="29BF5862"/>
    <w:rsid w:val="29C4477A"/>
    <w:rsid w:val="2A02391D"/>
    <w:rsid w:val="2A720D05"/>
    <w:rsid w:val="2ABC3498"/>
    <w:rsid w:val="2AF13D8E"/>
    <w:rsid w:val="2B2362C5"/>
    <w:rsid w:val="2B3D0C11"/>
    <w:rsid w:val="2B693250"/>
    <w:rsid w:val="2B7803BF"/>
    <w:rsid w:val="2BF656CE"/>
    <w:rsid w:val="2C471AD8"/>
    <w:rsid w:val="2C47420C"/>
    <w:rsid w:val="2C4A360C"/>
    <w:rsid w:val="2C4E7372"/>
    <w:rsid w:val="2C5C10D5"/>
    <w:rsid w:val="2CB41336"/>
    <w:rsid w:val="2D265BF9"/>
    <w:rsid w:val="2DC45B3D"/>
    <w:rsid w:val="2E480263"/>
    <w:rsid w:val="2E6A6DF4"/>
    <w:rsid w:val="2E9A5A84"/>
    <w:rsid w:val="2EA00AF2"/>
    <w:rsid w:val="2EDD678B"/>
    <w:rsid w:val="2F252ABD"/>
    <w:rsid w:val="2F9E450B"/>
    <w:rsid w:val="3037083C"/>
    <w:rsid w:val="30662EDC"/>
    <w:rsid w:val="306D6799"/>
    <w:rsid w:val="307341BA"/>
    <w:rsid w:val="312942C5"/>
    <w:rsid w:val="319618B2"/>
    <w:rsid w:val="31DB16A7"/>
    <w:rsid w:val="32353BD1"/>
    <w:rsid w:val="323D7255"/>
    <w:rsid w:val="32C91500"/>
    <w:rsid w:val="32E14A9C"/>
    <w:rsid w:val="333F228D"/>
    <w:rsid w:val="33667864"/>
    <w:rsid w:val="337A13F2"/>
    <w:rsid w:val="34515C51"/>
    <w:rsid w:val="34E604E5"/>
    <w:rsid w:val="34EA39B0"/>
    <w:rsid w:val="35325A82"/>
    <w:rsid w:val="35B355F7"/>
    <w:rsid w:val="35E4751E"/>
    <w:rsid w:val="361E1B63"/>
    <w:rsid w:val="365D08DD"/>
    <w:rsid w:val="37147DA6"/>
    <w:rsid w:val="37453B4E"/>
    <w:rsid w:val="374E46CA"/>
    <w:rsid w:val="378F3CBE"/>
    <w:rsid w:val="38697929"/>
    <w:rsid w:val="38D429AD"/>
    <w:rsid w:val="392A52C7"/>
    <w:rsid w:val="39797D07"/>
    <w:rsid w:val="39D570FE"/>
    <w:rsid w:val="3A0B6CA0"/>
    <w:rsid w:val="3A411ED5"/>
    <w:rsid w:val="3A6C4ACA"/>
    <w:rsid w:val="3AB54517"/>
    <w:rsid w:val="3AF45588"/>
    <w:rsid w:val="3B0A1C96"/>
    <w:rsid w:val="3B81419B"/>
    <w:rsid w:val="3BF119F2"/>
    <w:rsid w:val="3C2E0116"/>
    <w:rsid w:val="3C6436E5"/>
    <w:rsid w:val="3CC176EC"/>
    <w:rsid w:val="3D0013C3"/>
    <w:rsid w:val="3D3C76DC"/>
    <w:rsid w:val="3D3D229D"/>
    <w:rsid w:val="3DE4273B"/>
    <w:rsid w:val="3E056EC8"/>
    <w:rsid w:val="3E077380"/>
    <w:rsid w:val="3E9A6446"/>
    <w:rsid w:val="3ED95F70"/>
    <w:rsid w:val="3F5D4E79"/>
    <w:rsid w:val="3FAE184C"/>
    <w:rsid w:val="3FB424D4"/>
    <w:rsid w:val="3FBB3AEB"/>
    <w:rsid w:val="3FCF3ECE"/>
    <w:rsid w:val="401F735B"/>
    <w:rsid w:val="404228F2"/>
    <w:rsid w:val="405D37C8"/>
    <w:rsid w:val="40A553B8"/>
    <w:rsid w:val="41C45F1C"/>
    <w:rsid w:val="42497F67"/>
    <w:rsid w:val="424A065C"/>
    <w:rsid w:val="42A6503A"/>
    <w:rsid w:val="4324703C"/>
    <w:rsid w:val="432D3EC7"/>
    <w:rsid w:val="43496A2C"/>
    <w:rsid w:val="4352109E"/>
    <w:rsid w:val="43917E18"/>
    <w:rsid w:val="43E04FAC"/>
    <w:rsid w:val="43E837B0"/>
    <w:rsid w:val="441D3DA4"/>
    <w:rsid w:val="446F50BB"/>
    <w:rsid w:val="45717F01"/>
    <w:rsid w:val="45B4185E"/>
    <w:rsid w:val="45B74EE3"/>
    <w:rsid w:val="45B9587B"/>
    <w:rsid w:val="46511A49"/>
    <w:rsid w:val="46847E3E"/>
    <w:rsid w:val="46925084"/>
    <w:rsid w:val="46BD1253"/>
    <w:rsid w:val="46BD2786"/>
    <w:rsid w:val="471422EE"/>
    <w:rsid w:val="475457B7"/>
    <w:rsid w:val="476D19DC"/>
    <w:rsid w:val="478C48DD"/>
    <w:rsid w:val="47F0738D"/>
    <w:rsid w:val="4856407A"/>
    <w:rsid w:val="48C20A74"/>
    <w:rsid w:val="49631762"/>
    <w:rsid w:val="49C70A83"/>
    <w:rsid w:val="49F27681"/>
    <w:rsid w:val="4A300FAA"/>
    <w:rsid w:val="4A370103"/>
    <w:rsid w:val="4A4A77A6"/>
    <w:rsid w:val="4A8E17AE"/>
    <w:rsid w:val="4AC75430"/>
    <w:rsid w:val="4B4400BE"/>
    <w:rsid w:val="4BA57DDC"/>
    <w:rsid w:val="4BD20FCE"/>
    <w:rsid w:val="4C0B066A"/>
    <w:rsid w:val="4C172E84"/>
    <w:rsid w:val="4C1E1F85"/>
    <w:rsid w:val="4C327CBE"/>
    <w:rsid w:val="4C547818"/>
    <w:rsid w:val="4C8C1658"/>
    <w:rsid w:val="4D513D87"/>
    <w:rsid w:val="4D9B0602"/>
    <w:rsid w:val="4DBF26D1"/>
    <w:rsid w:val="4DCB4939"/>
    <w:rsid w:val="4F0016C2"/>
    <w:rsid w:val="4F277882"/>
    <w:rsid w:val="4FA429F9"/>
    <w:rsid w:val="50377F99"/>
    <w:rsid w:val="507E1724"/>
    <w:rsid w:val="50FC7C92"/>
    <w:rsid w:val="51005ED1"/>
    <w:rsid w:val="51042F80"/>
    <w:rsid w:val="518377C2"/>
    <w:rsid w:val="518A4489"/>
    <w:rsid w:val="51A40D74"/>
    <w:rsid w:val="52097713"/>
    <w:rsid w:val="52164B03"/>
    <w:rsid w:val="52691F60"/>
    <w:rsid w:val="52CA2DCE"/>
    <w:rsid w:val="52CF6795"/>
    <w:rsid w:val="530F0D59"/>
    <w:rsid w:val="53290B12"/>
    <w:rsid w:val="53447672"/>
    <w:rsid w:val="53551B86"/>
    <w:rsid w:val="53B62F8B"/>
    <w:rsid w:val="5427661A"/>
    <w:rsid w:val="54344581"/>
    <w:rsid w:val="544E58B1"/>
    <w:rsid w:val="54B41BB8"/>
    <w:rsid w:val="54B80216"/>
    <w:rsid w:val="54F9762F"/>
    <w:rsid w:val="551B7F9F"/>
    <w:rsid w:val="559B0682"/>
    <w:rsid w:val="55D73868"/>
    <w:rsid w:val="56A00622"/>
    <w:rsid w:val="5702376B"/>
    <w:rsid w:val="573D7351"/>
    <w:rsid w:val="57437223"/>
    <w:rsid w:val="5756729A"/>
    <w:rsid w:val="576F2F50"/>
    <w:rsid w:val="57723665"/>
    <w:rsid w:val="57D74558"/>
    <w:rsid w:val="57EE3AB7"/>
    <w:rsid w:val="58027B07"/>
    <w:rsid w:val="58133B73"/>
    <w:rsid w:val="582B3650"/>
    <w:rsid w:val="58485A69"/>
    <w:rsid w:val="588F2B00"/>
    <w:rsid w:val="59090807"/>
    <w:rsid w:val="59691E36"/>
    <w:rsid w:val="59DD0927"/>
    <w:rsid w:val="5A0A5919"/>
    <w:rsid w:val="5A44578C"/>
    <w:rsid w:val="5A467C6D"/>
    <w:rsid w:val="5A6D2AFF"/>
    <w:rsid w:val="5AA10777"/>
    <w:rsid w:val="5AB05933"/>
    <w:rsid w:val="5B1A473F"/>
    <w:rsid w:val="5B341533"/>
    <w:rsid w:val="5B4C63D3"/>
    <w:rsid w:val="5B995664"/>
    <w:rsid w:val="5BB7326B"/>
    <w:rsid w:val="5BC80B8E"/>
    <w:rsid w:val="5BD34A21"/>
    <w:rsid w:val="5BDB69A0"/>
    <w:rsid w:val="5C346870"/>
    <w:rsid w:val="5C3D3326"/>
    <w:rsid w:val="5C4D05EC"/>
    <w:rsid w:val="5D681792"/>
    <w:rsid w:val="5D8958E1"/>
    <w:rsid w:val="5E2B4120"/>
    <w:rsid w:val="5E5D63C2"/>
    <w:rsid w:val="5E762F5D"/>
    <w:rsid w:val="5F7C56CA"/>
    <w:rsid w:val="60105AB3"/>
    <w:rsid w:val="6017628C"/>
    <w:rsid w:val="607D0AFA"/>
    <w:rsid w:val="60835671"/>
    <w:rsid w:val="60C767CF"/>
    <w:rsid w:val="619F1626"/>
    <w:rsid w:val="62176272"/>
    <w:rsid w:val="626E45D7"/>
    <w:rsid w:val="629C68B0"/>
    <w:rsid w:val="62DB0C58"/>
    <w:rsid w:val="63076A63"/>
    <w:rsid w:val="63956573"/>
    <w:rsid w:val="63F0428F"/>
    <w:rsid w:val="63FF0045"/>
    <w:rsid w:val="645C36D2"/>
    <w:rsid w:val="64EC571C"/>
    <w:rsid w:val="6518584B"/>
    <w:rsid w:val="653250D8"/>
    <w:rsid w:val="65331DE1"/>
    <w:rsid w:val="657C31C2"/>
    <w:rsid w:val="66580AC6"/>
    <w:rsid w:val="6688004B"/>
    <w:rsid w:val="671B766F"/>
    <w:rsid w:val="671D35ED"/>
    <w:rsid w:val="681F3F15"/>
    <w:rsid w:val="68376254"/>
    <w:rsid w:val="686A150F"/>
    <w:rsid w:val="687234C5"/>
    <w:rsid w:val="68D75C39"/>
    <w:rsid w:val="68E048D2"/>
    <w:rsid w:val="68F0088D"/>
    <w:rsid w:val="690A5E64"/>
    <w:rsid w:val="690D7691"/>
    <w:rsid w:val="692642F2"/>
    <w:rsid w:val="694F1A58"/>
    <w:rsid w:val="69573BBA"/>
    <w:rsid w:val="695C3735"/>
    <w:rsid w:val="6A0D73FB"/>
    <w:rsid w:val="6A1E49EE"/>
    <w:rsid w:val="6A326C4F"/>
    <w:rsid w:val="6A78665E"/>
    <w:rsid w:val="6A99742E"/>
    <w:rsid w:val="6B3233DF"/>
    <w:rsid w:val="6B414DDE"/>
    <w:rsid w:val="6B715CB5"/>
    <w:rsid w:val="6BA93BCD"/>
    <w:rsid w:val="6BBB46B7"/>
    <w:rsid w:val="6C155B99"/>
    <w:rsid w:val="6C77379F"/>
    <w:rsid w:val="6CB57E24"/>
    <w:rsid w:val="6CC14D6E"/>
    <w:rsid w:val="6CD44759"/>
    <w:rsid w:val="6D082743"/>
    <w:rsid w:val="6D2867F4"/>
    <w:rsid w:val="6E102C34"/>
    <w:rsid w:val="6EC32CCC"/>
    <w:rsid w:val="6F235034"/>
    <w:rsid w:val="6FE20516"/>
    <w:rsid w:val="701B7177"/>
    <w:rsid w:val="701D3E0D"/>
    <w:rsid w:val="7091755D"/>
    <w:rsid w:val="710F2CA9"/>
    <w:rsid w:val="71337421"/>
    <w:rsid w:val="71B450AA"/>
    <w:rsid w:val="725E08FF"/>
    <w:rsid w:val="7262544B"/>
    <w:rsid w:val="727A6FE6"/>
    <w:rsid w:val="727D22A9"/>
    <w:rsid w:val="727E511F"/>
    <w:rsid w:val="7293389E"/>
    <w:rsid w:val="72995E06"/>
    <w:rsid w:val="729A51F5"/>
    <w:rsid w:val="72FF0523"/>
    <w:rsid w:val="73214465"/>
    <w:rsid w:val="73AB7D4A"/>
    <w:rsid w:val="73E27416"/>
    <w:rsid w:val="73EC36F7"/>
    <w:rsid w:val="74414E61"/>
    <w:rsid w:val="749A7C6A"/>
    <w:rsid w:val="750F65A0"/>
    <w:rsid w:val="75D91D6C"/>
    <w:rsid w:val="75EF25F8"/>
    <w:rsid w:val="761F5958"/>
    <w:rsid w:val="76A01B45"/>
    <w:rsid w:val="76BA1844"/>
    <w:rsid w:val="77541DD9"/>
    <w:rsid w:val="776E4808"/>
    <w:rsid w:val="7772528F"/>
    <w:rsid w:val="77B12FFC"/>
    <w:rsid w:val="77B51620"/>
    <w:rsid w:val="78100FCD"/>
    <w:rsid w:val="78224565"/>
    <w:rsid w:val="783D0F0C"/>
    <w:rsid w:val="786170B2"/>
    <w:rsid w:val="7868013A"/>
    <w:rsid w:val="78680440"/>
    <w:rsid w:val="788A4B76"/>
    <w:rsid w:val="78B23347"/>
    <w:rsid w:val="79D342E6"/>
    <w:rsid w:val="7A440A39"/>
    <w:rsid w:val="7A7F7DAD"/>
    <w:rsid w:val="7AD84425"/>
    <w:rsid w:val="7B492383"/>
    <w:rsid w:val="7B4E5F53"/>
    <w:rsid w:val="7BBD0AA3"/>
    <w:rsid w:val="7BBE7DDC"/>
    <w:rsid w:val="7BC419C1"/>
    <w:rsid w:val="7BFF883C"/>
    <w:rsid w:val="7C353FC0"/>
    <w:rsid w:val="7C3A5A3B"/>
    <w:rsid w:val="7C506DEC"/>
    <w:rsid w:val="7C6A30A7"/>
    <w:rsid w:val="7C9C45CC"/>
    <w:rsid w:val="7D657644"/>
    <w:rsid w:val="7DA87189"/>
    <w:rsid w:val="7DAB6DDC"/>
    <w:rsid w:val="7DC507E5"/>
    <w:rsid w:val="7DF2DCAA"/>
    <w:rsid w:val="7E2E7A36"/>
    <w:rsid w:val="7E3F1E63"/>
    <w:rsid w:val="7E5A528F"/>
    <w:rsid w:val="7E755665"/>
    <w:rsid w:val="7EEB37E8"/>
    <w:rsid w:val="F7B7E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2166</Words>
  <Characters>2222</Characters>
  <Lines>0</Lines>
  <Paragraphs>0</Paragraphs>
  <TotalTime>0</TotalTime>
  <ScaleCrop>false</ScaleCrop>
  <LinksUpToDate>false</LinksUpToDate>
  <CharactersWithSpaces>2230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2021-11-30T09:38:00Z</dcterms:created>
  <dc:creator>Administrator</dc:creator>
  <cp:lastModifiedBy>李文兴</cp:lastModifiedBy>
  <dcterms:modified xsi:type="dcterms:W3CDTF">2025-02-12T10:53:29Z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0A3C99E69A464E899BD9AB978E9EEC39</vt:lpwstr>
  </property>
</Properties>
</file>