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12" w:rsidRPr="005A0C7A" w:rsidRDefault="005A0C7A" w:rsidP="005A0C7A">
      <w:pPr>
        <w:spacing w:line="576" w:lineRule="exact"/>
        <w:jc w:val="center"/>
        <w:rPr>
          <w:rFonts w:ascii="方正小标宋简体" w:eastAsia="方正小标宋简体" w:hAnsi="宋体"/>
          <w:sz w:val="44"/>
          <w:szCs w:val="44"/>
        </w:rPr>
      </w:pPr>
      <w:r w:rsidRPr="005A0C7A">
        <w:rPr>
          <w:rFonts w:ascii="方正小标宋简体" w:eastAsia="方正小标宋简体" w:hAnsi="宋体" w:hint="eastAsia"/>
          <w:sz w:val="44"/>
          <w:szCs w:val="44"/>
        </w:rPr>
        <w:t>白城市能源局</w:t>
      </w:r>
    </w:p>
    <w:p w:rsidR="00305BF5" w:rsidRPr="005A0C7A" w:rsidRDefault="00CF6DB9" w:rsidP="005A0C7A">
      <w:pPr>
        <w:spacing w:line="576" w:lineRule="exact"/>
        <w:jc w:val="center"/>
        <w:rPr>
          <w:rFonts w:ascii="方正小标宋简体" w:eastAsia="方正小标宋简体"/>
          <w:szCs w:val="32"/>
        </w:rPr>
      </w:pPr>
      <w:r w:rsidRPr="005A0C7A">
        <w:rPr>
          <w:rFonts w:ascii="方正小标宋简体" w:eastAsia="方正小标宋简体" w:hAnsi="宋体" w:hint="eastAsia"/>
          <w:sz w:val="44"/>
          <w:szCs w:val="44"/>
        </w:rPr>
        <w:t>重大行政决策预公开制度</w:t>
      </w:r>
    </w:p>
    <w:p w:rsidR="00305BF5" w:rsidRPr="00305BF5" w:rsidRDefault="00305BF5" w:rsidP="00305BF5">
      <w:pPr>
        <w:rPr>
          <w:rFonts w:ascii="仿宋_GB2312"/>
          <w:szCs w:val="32"/>
        </w:rPr>
      </w:pP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第一</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为增强市</w:t>
      </w:r>
      <w:r w:rsidR="005A0C7A" w:rsidRPr="005A0C7A">
        <w:rPr>
          <w:rFonts w:ascii="方正仿宋_GBK" w:eastAsia="方正仿宋_GBK" w:hint="eastAsia"/>
          <w:szCs w:val="32"/>
        </w:rPr>
        <w:t>能源</w:t>
      </w:r>
      <w:r w:rsidRPr="005A0C7A">
        <w:rPr>
          <w:rFonts w:ascii="方正仿宋_GBK" w:eastAsia="方正仿宋_GBK" w:hint="eastAsia"/>
          <w:szCs w:val="32"/>
        </w:rPr>
        <w:t>局民主政治建设和坚持依法行政，提高工作透明度，加强廉政建设，促进工作质量和服务水平，改善机关工作作风，特制定本制度。</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第二</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预公开制度是指提交政府常务会议审议在涉及群众切身利益,需要社会广泛知晓的重要改革方案，重要政策措施等重大行政决策事项，除依法应当保密的外，</w:t>
      </w:r>
      <w:r w:rsidR="005A0C7A">
        <w:rPr>
          <w:rFonts w:ascii="方正仿宋_GBK" w:eastAsia="方正仿宋_GBK" w:hint="eastAsia"/>
          <w:szCs w:val="32"/>
        </w:rPr>
        <w:t>市能源局</w:t>
      </w:r>
      <w:r w:rsidRPr="005A0C7A">
        <w:rPr>
          <w:rFonts w:ascii="方正仿宋_GBK" w:eastAsia="方正仿宋_GBK" w:hint="eastAsia"/>
          <w:szCs w:val="32"/>
        </w:rPr>
        <w:t>应在决策前通过政府网站，新闻媒体等向社会公开，通过听证座谈，媒体沟通等方式广泛听取公众意见，征集意见结束后及时向社会公开意见采纳情况。</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第三</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预公开以依法、及时、真实、公正和不影响决策为原则。</w:t>
      </w:r>
    </w:p>
    <w:p w:rsidR="00CF6DB9" w:rsidRPr="005A0C7A" w:rsidRDefault="00CF6DB9" w:rsidP="00CF6DB9">
      <w:pPr>
        <w:ind w:firstLineChars="200" w:firstLine="624"/>
        <w:rPr>
          <w:rFonts w:ascii="方正仿宋_GBK" w:eastAsia="方正仿宋_GBK"/>
          <w:szCs w:val="32"/>
        </w:rPr>
      </w:pPr>
      <w:r w:rsidRPr="00537F21">
        <w:rPr>
          <w:rFonts w:ascii="黑体" w:eastAsia="黑体" w:hAnsi="黑体" w:hint="eastAsia"/>
          <w:szCs w:val="32"/>
        </w:rPr>
        <w:t>第四</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根据</w:t>
      </w:r>
      <w:r w:rsidR="005A0C7A">
        <w:rPr>
          <w:rFonts w:ascii="方正仿宋_GBK" w:eastAsia="方正仿宋_GBK" w:hint="eastAsia"/>
          <w:szCs w:val="32"/>
        </w:rPr>
        <w:t>市能源局</w:t>
      </w:r>
      <w:r w:rsidRPr="005A0C7A">
        <w:rPr>
          <w:rFonts w:ascii="方正仿宋_GBK" w:eastAsia="方正仿宋_GBK" w:hint="eastAsia"/>
          <w:szCs w:val="32"/>
        </w:rPr>
        <w:t>实际，应实施预公开制度的事项有：</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（一）涉及我局的发展战略、发展计划、工作目标及完成情况；</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（二）涉及全局性的重要事项或重大决策；</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（三）涉及创业创新，知识产权保护等方面的法规、规章、规范性文件及其他政策措施的出台；</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（四）涉及群众切身利益或群众普遍关心的重大事项决策；</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（五）涉及</w:t>
      </w:r>
      <w:r w:rsidR="005A0C7A">
        <w:rPr>
          <w:rFonts w:ascii="方正仿宋_GBK" w:eastAsia="方正仿宋_GBK" w:hint="eastAsia"/>
          <w:szCs w:val="32"/>
        </w:rPr>
        <w:t>市能源局</w:t>
      </w:r>
      <w:r w:rsidRPr="005A0C7A">
        <w:rPr>
          <w:rFonts w:ascii="方正仿宋_GBK" w:eastAsia="方正仿宋_GBK" w:hint="eastAsia"/>
          <w:szCs w:val="32"/>
        </w:rPr>
        <w:t>的机构设置、职能和设定依据的变动；</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lastRenderedPageBreak/>
        <w:t>（六）涉及行政审批、审核、备案等行政职能的变动；</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（七）涉及重大突发事件和重要行政执法行为的处理和执行情况；</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（八）涉及</w:t>
      </w:r>
      <w:r w:rsidR="005A0C7A">
        <w:rPr>
          <w:rFonts w:ascii="方正仿宋_GBK" w:eastAsia="方正仿宋_GBK" w:hint="eastAsia"/>
          <w:szCs w:val="32"/>
        </w:rPr>
        <w:t>市能源局</w:t>
      </w:r>
      <w:r w:rsidRPr="005A0C7A">
        <w:rPr>
          <w:rFonts w:ascii="方正仿宋_GBK" w:eastAsia="方正仿宋_GBK" w:hint="eastAsia"/>
          <w:szCs w:val="32"/>
        </w:rPr>
        <w:t>年度财政预算报告及其执行情况；</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（九）涉及重要专项经费的分配和使用情况、重要物资招标采购情况、重大基本建设项目招投标情况和重大投资建设的社会公益事业的情况；</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（十）涉及局机关机构改革人员分流和工作人员分工及调整变化情况；</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（十一）涉及公务员录用、选拔任用、评选先进的条件、程序和结果；</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（十二）其他应当实施预公开制度的事项。</w:t>
      </w:r>
    </w:p>
    <w:p w:rsidR="00CF6DB9" w:rsidRPr="005A0C7A" w:rsidRDefault="00CF6DB9" w:rsidP="00CF6DB9">
      <w:pPr>
        <w:ind w:firstLineChars="200" w:firstLine="624"/>
        <w:rPr>
          <w:rFonts w:ascii="方正仿宋_GBK" w:eastAsia="方正仿宋_GBK"/>
          <w:szCs w:val="32"/>
        </w:rPr>
      </w:pPr>
      <w:r w:rsidRPr="00537F21">
        <w:rPr>
          <w:rFonts w:ascii="黑体" w:eastAsia="黑体" w:hAnsi="黑体" w:hint="eastAsia"/>
          <w:szCs w:val="32"/>
        </w:rPr>
        <w:t>第五</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预公开采取的方式有：</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（一）通过广播、电视、报刊等媒体向社会及公众预公开；</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（二）通过设立固定的信息公开栏向社会及公众预公开；</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（三）通过</w:t>
      </w:r>
      <w:r w:rsidR="00FB0351" w:rsidRPr="005A0C7A">
        <w:rPr>
          <w:rFonts w:ascii="方正仿宋_GBK" w:eastAsia="方正仿宋_GBK" w:hint="eastAsia"/>
          <w:szCs w:val="32"/>
        </w:rPr>
        <w:t>白城市政府信息公开专栏</w:t>
      </w:r>
      <w:r w:rsidRPr="005A0C7A">
        <w:rPr>
          <w:rFonts w:ascii="方正仿宋_GBK" w:eastAsia="方正仿宋_GBK" w:hint="eastAsia"/>
          <w:szCs w:val="32"/>
        </w:rPr>
        <w:t>向社会及公众预公开；</w:t>
      </w:r>
    </w:p>
    <w:p w:rsidR="00CF6DB9" w:rsidRPr="005A0C7A" w:rsidRDefault="00CF6DB9" w:rsidP="00CF6DB9">
      <w:pPr>
        <w:ind w:firstLineChars="200" w:firstLine="624"/>
        <w:rPr>
          <w:rFonts w:ascii="方正仿宋_GBK" w:eastAsia="方正仿宋_GBK"/>
          <w:szCs w:val="32"/>
        </w:rPr>
      </w:pPr>
      <w:r w:rsidRPr="005A0C7A">
        <w:rPr>
          <w:rFonts w:ascii="方正仿宋_GBK" w:eastAsia="方正仿宋_GBK" w:hint="eastAsia"/>
          <w:szCs w:val="32"/>
        </w:rPr>
        <w:t>（四）其他便于社会及公众知晓的形式。</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第六</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预公开时间自我局作出预公开决定并向社会发布之日起，不超过</w:t>
      </w:r>
      <w:r w:rsidRPr="005A0C7A">
        <w:rPr>
          <w:rFonts w:eastAsia="方正仿宋_GBK" w:cs="Times New Roman"/>
          <w:szCs w:val="32"/>
        </w:rPr>
        <w:t>7</w:t>
      </w:r>
      <w:r w:rsidRPr="005A0C7A">
        <w:rPr>
          <w:rFonts w:ascii="方正仿宋_GBK" w:eastAsia="方正仿宋_GBK" w:hint="eastAsia"/>
          <w:szCs w:val="32"/>
        </w:rPr>
        <w:t>个工作日。</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第七</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预公开制度的执行必须依法、依规办理。凡涉及个人隐私、商业秘密、国家秘密的，不允许预公开，预公开内容应符合保密法律、法规的规定。</w:t>
      </w:r>
    </w:p>
    <w:p w:rsidR="00CF6DB9" w:rsidRPr="005A0C7A" w:rsidRDefault="00CF6DB9" w:rsidP="00CF6DB9">
      <w:pPr>
        <w:ind w:firstLineChars="200" w:firstLine="624"/>
        <w:rPr>
          <w:rFonts w:ascii="方正仿宋_GBK" w:eastAsia="方正仿宋_GBK"/>
          <w:szCs w:val="32"/>
        </w:rPr>
      </w:pPr>
      <w:r w:rsidRPr="00537F21">
        <w:rPr>
          <w:rFonts w:ascii="黑体" w:eastAsia="黑体" w:hAnsi="黑体" w:hint="eastAsia"/>
          <w:szCs w:val="32"/>
        </w:rPr>
        <w:lastRenderedPageBreak/>
        <w:t>第八</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凡应实施预公开制度但未实施的事项，该事项不具有行政效力。</w:t>
      </w:r>
    </w:p>
    <w:p w:rsidR="00305BF5" w:rsidRDefault="00CF6DB9" w:rsidP="00CF6DB9">
      <w:pPr>
        <w:ind w:firstLineChars="200" w:firstLine="624"/>
        <w:rPr>
          <w:rFonts w:ascii="方正仿宋_GBK" w:eastAsia="方正仿宋_GBK"/>
          <w:szCs w:val="32"/>
        </w:rPr>
      </w:pPr>
      <w:r w:rsidRPr="00537F21">
        <w:rPr>
          <w:rFonts w:ascii="黑体" w:eastAsia="黑体" w:hAnsi="黑体" w:hint="eastAsia"/>
          <w:szCs w:val="32"/>
        </w:rPr>
        <w:t>第九</w:t>
      </w:r>
      <w:r w:rsidR="00825E02" w:rsidRPr="00537F21">
        <w:rPr>
          <w:rFonts w:ascii="黑体" w:eastAsia="黑体" w:hAnsi="黑体" w:hint="eastAsia"/>
          <w:szCs w:val="32"/>
        </w:rPr>
        <w:t>条</w:t>
      </w:r>
      <w:r w:rsidR="00825E02">
        <w:rPr>
          <w:rFonts w:ascii="仿宋_GB2312" w:hint="eastAsia"/>
          <w:szCs w:val="32"/>
        </w:rPr>
        <w:t xml:space="preserve">　</w:t>
      </w:r>
      <w:r w:rsidRPr="005A0C7A">
        <w:rPr>
          <w:rFonts w:ascii="方正仿宋_GBK" w:eastAsia="方正仿宋_GBK" w:hint="eastAsia"/>
          <w:szCs w:val="32"/>
        </w:rPr>
        <w:t>本制度从发布之日起施行。</w:t>
      </w:r>
    </w:p>
    <w:p w:rsidR="005A0C7A" w:rsidRDefault="005A0C7A" w:rsidP="00CF6DB9">
      <w:pPr>
        <w:ind w:firstLineChars="200" w:firstLine="624"/>
        <w:rPr>
          <w:rFonts w:ascii="方正仿宋_GBK" w:eastAsia="方正仿宋_GBK"/>
          <w:szCs w:val="32"/>
        </w:rPr>
      </w:pPr>
    </w:p>
    <w:p w:rsidR="005A0C7A" w:rsidRDefault="005A0C7A" w:rsidP="00CF6DB9">
      <w:pPr>
        <w:ind w:firstLineChars="200" w:firstLine="624"/>
        <w:rPr>
          <w:rFonts w:ascii="方正仿宋_GBK" w:eastAsia="方正仿宋_GBK"/>
          <w:szCs w:val="32"/>
        </w:rPr>
      </w:pPr>
    </w:p>
    <w:p w:rsidR="005A0C7A" w:rsidRDefault="005A0C7A" w:rsidP="00CF6DB9">
      <w:pPr>
        <w:ind w:firstLineChars="200" w:firstLine="624"/>
        <w:rPr>
          <w:rFonts w:ascii="方正仿宋_GBK" w:eastAsia="方正仿宋_GBK"/>
          <w:szCs w:val="32"/>
        </w:rPr>
      </w:pPr>
      <w:bookmarkStart w:id="0" w:name="_GoBack"/>
      <w:bookmarkEnd w:id="0"/>
    </w:p>
    <w:sectPr w:rsidR="005A0C7A" w:rsidSect="00D62913">
      <w:footerReference w:type="even" r:id="rId8"/>
      <w:footerReference w:type="default" r:id="rId9"/>
      <w:pgSz w:w="11906" w:h="16838" w:code="9"/>
      <w:pgMar w:top="2098" w:right="1474" w:bottom="1985" w:left="1588" w:header="851" w:footer="1378"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DC" w:rsidRDefault="00BB77DC" w:rsidP="00AE3AC2">
      <w:r>
        <w:separator/>
      </w:r>
    </w:p>
  </w:endnote>
  <w:endnote w:type="continuationSeparator" w:id="0">
    <w:p w:rsidR="00BB77DC" w:rsidRDefault="00BB77DC" w:rsidP="00A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902504"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902504" w:rsidRPr="00791C35">
      <w:rPr>
        <w:rFonts w:ascii="宋体" w:eastAsia="宋体" w:hAnsi="宋体"/>
        <w:sz w:val="28"/>
        <w:szCs w:val="28"/>
      </w:rPr>
      <w:fldChar w:fldCharType="separate"/>
    </w:r>
    <w:r w:rsidR="00D62913" w:rsidRPr="00D62913">
      <w:rPr>
        <w:rFonts w:ascii="宋体" w:eastAsia="宋体" w:hAnsi="宋体"/>
        <w:noProof/>
        <w:sz w:val="28"/>
        <w:szCs w:val="28"/>
        <w:lang w:val="zh-CN"/>
      </w:rPr>
      <w:t>2</w:t>
    </w:r>
    <w:r w:rsidR="00902504"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644255"/>
      <w:docPartObj>
        <w:docPartGallery w:val="Page Numbers (Bottom of Page)"/>
        <w:docPartUnique/>
      </w:docPartObj>
    </w:sdtPr>
    <w:sdtEndPr/>
    <w:sdtContent>
      <w:p w:rsidR="00D45CC8" w:rsidRDefault="00D45CC8">
        <w:pPr>
          <w:pStyle w:val="a4"/>
          <w:jc w:val="center"/>
        </w:pPr>
        <w:r>
          <w:fldChar w:fldCharType="begin"/>
        </w:r>
        <w:r>
          <w:instrText>PAGE   \* MERGEFORMAT</w:instrText>
        </w:r>
        <w:r>
          <w:fldChar w:fldCharType="separate"/>
        </w:r>
        <w:r w:rsidR="00983FEA" w:rsidRPr="00983FEA">
          <w:rPr>
            <w:noProof/>
            <w:lang w:val="zh-CN"/>
          </w:rPr>
          <w:t>3</w:t>
        </w:r>
        <w:r>
          <w:fldChar w:fldCharType="end"/>
        </w:r>
      </w:p>
    </w:sdtContent>
  </w:sdt>
  <w:p w:rsidR="00EE3FBC" w:rsidRPr="007C3B04" w:rsidRDefault="00EE3FBC" w:rsidP="007C3B04">
    <w:pPr>
      <w:pStyle w:val="a4"/>
      <w:ind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DC" w:rsidRDefault="00BB77DC" w:rsidP="00AE3AC2">
      <w:r>
        <w:separator/>
      </w:r>
    </w:p>
  </w:footnote>
  <w:footnote w:type="continuationSeparator" w:id="0">
    <w:p w:rsidR="00BB77DC" w:rsidRDefault="00BB77DC" w:rsidP="00AE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6"/>
  <w:drawingGridVerticalSpacing w:val="287"/>
  <w:displayHorizontalDrawingGridEvery w:val="0"/>
  <w:displayVerticalDrawingGridEvery w:val="2"/>
  <w:noPunctuationKerning/>
  <w:characterSpacingControl w:val="doNotCompress"/>
  <w:hdrShapeDefaults>
    <o:shapedefaults v:ext="edit" spidmax="2049"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AC2"/>
    <w:rsid w:val="00006CAF"/>
    <w:rsid w:val="000113AE"/>
    <w:rsid w:val="000320E5"/>
    <w:rsid w:val="000342FB"/>
    <w:rsid w:val="000376D3"/>
    <w:rsid w:val="000449F0"/>
    <w:rsid w:val="00053C76"/>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5D9A"/>
    <w:rsid w:val="00257F19"/>
    <w:rsid w:val="00260A0C"/>
    <w:rsid w:val="00281A07"/>
    <w:rsid w:val="00285BDC"/>
    <w:rsid w:val="00286729"/>
    <w:rsid w:val="002A117E"/>
    <w:rsid w:val="002A50A7"/>
    <w:rsid w:val="002A6E61"/>
    <w:rsid w:val="002C1335"/>
    <w:rsid w:val="002C314F"/>
    <w:rsid w:val="002D7F64"/>
    <w:rsid w:val="002F3964"/>
    <w:rsid w:val="00305BF5"/>
    <w:rsid w:val="00307469"/>
    <w:rsid w:val="00315D03"/>
    <w:rsid w:val="00325331"/>
    <w:rsid w:val="00327575"/>
    <w:rsid w:val="00336A39"/>
    <w:rsid w:val="0034250F"/>
    <w:rsid w:val="003430DD"/>
    <w:rsid w:val="003518B4"/>
    <w:rsid w:val="003650D6"/>
    <w:rsid w:val="00370964"/>
    <w:rsid w:val="0037368E"/>
    <w:rsid w:val="003764E3"/>
    <w:rsid w:val="0037781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23B34"/>
    <w:rsid w:val="0043467B"/>
    <w:rsid w:val="004367B2"/>
    <w:rsid w:val="00441BCA"/>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37F21"/>
    <w:rsid w:val="0054267A"/>
    <w:rsid w:val="005516E3"/>
    <w:rsid w:val="00562D0B"/>
    <w:rsid w:val="00574607"/>
    <w:rsid w:val="00577012"/>
    <w:rsid w:val="00590ACC"/>
    <w:rsid w:val="00590F9C"/>
    <w:rsid w:val="005931CA"/>
    <w:rsid w:val="00597A67"/>
    <w:rsid w:val="005A04A3"/>
    <w:rsid w:val="005A0C7A"/>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62994"/>
    <w:rsid w:val="006703CB"/>
    <w:rsid w:val="00671111"/>
    <w:rsid w:val="00694FA3"/>
    <w:rsid w:val="006971D9"/>
    <w:rsid w:val="006B005B"/>
    <w:rsid w:val="006B17C2"/>
    <w:rsid w:val="006B3403"/>
    <w:rsid w:val="006C2729"/>
    <w:rsid w:val="006C57D1"/>
    <w:rsid w:val="006E070D"/>
    <w:rsid w:val="006F1825"/>
    <w:rsid w:val="006F306E"/>
    <w:rsid w:val="00721B21"/>
    <w:rsid w:val="00726DAD"/>
    <w:rsid w:val="00727165"/>
    <w:rsid w:val="00732068"/>
    <w:rsid w:val="0073334D"/>
    <w:rsid w:val="00734F39"/>
    <w:rsid w:val="00746CA5"/>
    <w:rsid w:val="007473FB"/>
    <w:rsid w:val="00757830"/>
    <w:rsid w:val="007636A2"/>
    <w:rsid w:val="00766266"/>
    <w:rsid w:val="00770D29"/>
    <w:rsid w:val="0077501B"/>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25E02"/>
    <w:rsid w:val="00856AC8"/>
    <w:rsid w:val="00861325"/>
    <w:rsid w:val="00862CB1"/>
    <w:rsid w:val="008643A0"/>
    <w:rsid w:val="008745A8"/>
    <w:rsid w:val="00882557"/>
    <w:rsid w:val="008825D0"/>
    <w:rsid w:val="00887617"/>
    <w:rsid w:val="00895A72"/>
    <w:rsid w:val="008B629C"/>
    <w:rsid w:val="008D6425"/>
    <w:rsid w:val="008E25D0"/>
    <w:rsid w:val="008F70D4"/>
    <w:rsid w:val="00902504"/>
    <w:rsid w:val="0090457D"/>
    <w:rsid w:val="0091155F"/>
    <w:rsid w:val="00911F99"/>
    <w:rsid w:val="00913F12"/>
    <w:rsid w:val="009205E0"/>
    <w:rsid w:val="00920DD4"/>
    <w:rsid w:val="00927197"/>
    <w:rsid w:val="00932344"/>
    <w:rsid w:val="0095123E"/>
    <w:rsid w:val="00957142"/>
    <w:rsid w:val="009579FC"/>
    <w:rsid w:val="00964A8C"/>
    <w:rsid w:val="0097022C"/>
    <w:rsid w:val="009721B0"/>
    <w:rsid w:val="00973A85"/>
    <w:rsid w:val="00974EE6"/>
    <w:rsid w:val="00983FEA"/>
    <w:rsid w:val="00990624"/>
    <w:rsid w:val="009966CD"/>
    <w:rsid w:val="009A020A"/>
    <w:rsid w:val="009A337F"/>
    <w:rsid w:val="009A4811"/>
    <w:rsid w:val="009B32FF"/>
    <w:rsid w:val="009D2C9C"/>
    <w:rsid w:val="009F0E9B"/>
    <w:rsid w:val="009F40F1"/>
    <w:rsid w:val="00A07BC2"/>
    <w:rsid w:val="00A16959"/>
    <w:rsid w:val="00A217F2"/>
    <w:rsid w:val="00A22522"/>
    <w:rsid w:val="00A24725"/>
    <w:rsid w:val="00A24F3B"/>
    <w:rsid w:val="00A32F55"/>
    <w:rsid w:val="00A43B37"/>
    <w:rsid w:val="00A46DCC"/>
    <w:rsid w:val="00A603A5"/>
    <w:rsid w:val="00A61E59"/>
    <w:rsid w:val="00A67B12"/>
    <w:rsid w:val="00A71481"/>
    <w:rsid w:val="00A81AA4"/>
    <w:rsid w:val="00A842AC"/>
    <w:rsid w:val="00A91743"/>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5736"/>
    <w:rsid w:val="00B860AD"/>
    <w:rsid w:val="00B9077F"/>
    <w:rsid w:val="00B910DE"/>
    <w:rsid w:val="00B9261A"/>
    <w:rsid w:val="00B95E6A"/>
    <w:rsid w:val="00B9611B"/>
    <w:rsid w:val="00BA3430"/>
    <w:rsid w:val="00BB6F71"/>
    <w:rsid w:val="00BB77DC"/>
    <w:rsid w:val="00BC2F6C"/>
    <w:rsid w:val="00BE3DBE"/>
    <w:rsid w:val="00BE775A"/>
    <w:rsid w:val="00C023C4"/>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CF6DB9"/>
    <w:rsid w:val="00CF7E1E"/>
    <w:rsid w:val="00D0226A"/>
    <w:rsid w:val="00D16F3E"/>
    <w:rsid w:val="00D171B5"/>
    <w:rsid w:val="00D22338"/>
    <w:rsid w:val="00D236C7"/>
    <w:rsid w:val="00D243A2"/>
    <w:rsid w:val="00D25B67"/>
    <w:rsid w:val="00D34C86"/>
    <w:rsid w:val="00D373A4"/>
    <w:rsid w:val="00D37675"/>
    <w:rsid w:val="00D45CC8"/>
    <w:rsid w:val="00D50592"/>
    <w:rsid w:val="00D606C3"/>
    <w:rsid w:val="00D62913"/>
    <w:rsid w:val="00D66C21"/>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0B15"/>
    <w:rsid w:val="00F013A0"/>
    <w:rsid w:val="00F106E2"/>
    <w:rsid w:val="00F2388E"/>
    <w:rsid w:val="00F248FC"/>
    <w:rsid w:val="00F40B14"/>
    <w:rsid w:val="00F46CB6"/>
    <w:rsid w:val="00F635D3"/>
    <w:rsid w:val="00F7069F"/>
    <w:rsid w:val="00F8074F"/>
    <w:rsid w:val="00F94603"/>
    <w:rsid w:val="00FA1F6F"/>
    <w:rsid w:val="00FA3628"/>
    <w:rsid w:val="00FA6BF2"/>
    <w:rsid w:val="00FB0351"/>
    <w:rsid w:val="00FB69B6"/>
    <w:rsid w:val="00FC12FC"/>
    <w:rsid w:val="00FC2047"/>
    <w:rsid w:val="00FC2736"/>
    <w:rsid w:val="00FC5BFF"/>
    <w:rsid w:val="00FD32FB"/>
    <w:rsid w:val="00FD52E4"/>
    <w:rsid w:val="00FD7BF8"/>
    <w:rsid w:val="00FE71E0"/>
    <w:rsid w:val="00FE77D2"/>
    <w:rsid w:val="00FF1B0D"/>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relative:line" o:allowoverlap="f" strokecolor="red">
      <v:stroke color="red"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140</Words>
  <Characters>798</Characters>
  <Application>Microsoft Office Word</Application>
  <DocSecurity>0</DocSecurity>
  <Lines>6</Lines>
  <Paragraphs>1</Paragraphs>
  <ScaleCrop>false</ScaleCrop>
  <Company>微软中国</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Acer</cp:lastModifiedBy>
  <cp:revision>8</cp:revision>
  <cp:lastPrinted>2019-11-12T07:01:00Z</cp:lastPrinted>
  <dcterms:created xsi:type="dcterms:W3CDTF">2019-06-26T02:40:00Z</dcterms:created>
  <dcterms:modified xsi:type="dcterms:W3CDTF">2019-11-12T07:01:00Z</dcterms:modified>
</cp:coreProperties>
</file>